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0E71" w14:textId="59E02571" w:rsidR="00AF1E15" w:rsidRPr="00B036C4" w:rsidRDefault="00AF1E15" w:rsidP="005B177E">
      <w:pPr>
        <w:pStyle w:val="Nagwek1"/>
      </w:pPr>
      <w:r w:rsidRPr="00B036C4">
        <w:t xml:space="preserve">KARTA </w:t>
      </w:r>
      <w:r w:rsidR="00D51922">
        <w:t>ROZWIĄZANIA</w:t>
      </w:r>
      <w:r w:rsidR="00E712DD">
        <w:t>:</w:t>
      </w:r>
    </w:p>
    <w:tbl>
      <w:tblPr>
        <w:tblStyle w:val="Tabela-Siatka"/>
        <w:tblW w:w="0" w:type="auto"/>
        <w:tblCellMar>
          <w:top w:w="57" w:type="dxa"/>
          <w:bottom w:w="57" w:type="dxa"/>
        </w:tblCellMar>
        <w:tblLook w:val="04A0" w:firstRow="1" w:lastRow="0" w:firstColumn="1" w:lastColumn="0" w:noHBand="0" w:noVBand="1"/>
      </w:tblPr>
      <w:tblGrid>
        <w:gridCol w:w="3085"/>
        <w:gridCol w:w="5977"/>
      </w:tblGrid>
      <w:tr w:rsidR="00F90925" w:rsidRPr="00F90925" w14:paraId="7821764E" w14:textId="41E2E028" w:rsidTr="00B07FEB">
        <w:tc>
          <w:tcPr>
            <w:tcW w:w="3085" w:type="dxa"/>
          </w:tcPr>
          <w:p w14:paraId="39BF3A04" w14:textId="77777777" w:rsidR="00F90925" w:rsidRPr="00F90925" w:rsidRDefault="00F90925" w:rsidP="00181521">
            <w:r w:rsidRPr="00F90925">
              <w:t xml:space="preserve">ID: </w:t>
            </w:r>
          </w:p>
        </w:tc>
        <w:tc>
          <w:tcPr>
            <w:tcW w:w="5977" w:type="dxa"/>
          </w:tcPr>
          <w:p w14:paraId="37BE3C1E" w14:textId="760F9B1A" w:rsidR="00F90925" w:rsidRPr="00F90925" w:rsidRDefault="009965B4" w:rsidP="00181521">
            <w:r>
              <w:t>M.09-1</w:t>
            </w:r>
          </w:p>
        </w:tc>
      </w:tr>
      <w:tr w:rsidR="009B69F9" w:rsidRPr="00F90925" w14:paraId="617B7578" w14:textId="77777777" w:rsidTr="00B07FEB">
        <w:tc>
          <w:tcPr>
            <w:tcW w:w="3085" w:type="dxa"/>
          </w:tcPr>
          <w:p w14:paraId="2994B589" w14:textId="65235045" w:rsidR="009B69F9" w:rsidRPr="00F90925" w:rsidRDefault="00560733" w:rsidP="00181521">
            <w:r>
              <w:t>Typ instrumentarium</w:t>
            </w:r>
            <w:r w:rsidR="009B69F9">
              <w:t xml:space="preserve"> (a do f)</w:t>
            </w:r>
            <w:r w:rsidR="00C377DE" w:rsidRPr="00C377DE">
              <w:rPr>
                <w:rStyle w:val="Odwoanieprzypisudolnego"/>
              </w:rPr>
              <w:t xml:space="preserve"> </w:t>
            </w:r>
            <w:r w:rsidR="00C377DE" w:rsidRPr="00C377DE">
              <w:rPr>
                <w:rStyle w:val="Odwoanieprzypisudolnego"/>
              </w:rPr>
              <w:footnoteReference w:id="1"/>
            </w:r>
          </w:p>
        </w:tc>
        <w:tc>
          <w:tcPr>
            <w:tcW w:w="5977" w:type="dxa"/>
          </w:tcPr>
          <w:p w14:paraId="49050AC8" w14:textId="308E7540" w:rsidR="009B69F9" w:rsidRPr="00F90925" w:rsidRDefault="00030F60" w:rsidP="00181521">
            <w:r>
              <w:t>a), d)</w:t>
            </w:r>
          </w:p>
        </w:tc>
      </w:tr>
      <w:tr w:rsidR="00663CD8" w:rsidRPr="003F38E2" w14:paraId="6ABDC081" w14:textId="77777777" w:rsidTr="00B07FEB">
        <w:tc>
          <w:tcPr>
            <w:tcW w:w="3085" w:type="dxa"/>
          </w:tcPr>
          <w:p w14:paraId="452B137C" w14:textId="6DEE5C8D" w:rsidR="00663CD8" w:rsidRPr="003F38E2" w:rsidRDefault="00EC3F3C" w:rsidP="003F38E2">
            <w:r w:rsidRPr="003F38E2">
              <w:t>Kategoria rozwiązania</w:t>
            </w:r>
            <w:r w:rsidR="00663CD8" w:rsidRPr="003F38E2">
              <w:t xml:space="preserve"> </w:t>
            </w:r>
            <w:r w:rsidR="00EE1A5C" w:rsidRPr="003F38E2">
              <w:t>(</w:t>
            </w:r>
            <w:r w:rsidR="00B07FEB" w:rsidRPr="003F38E2">
              <w:t>A</w:t>
            </w:r>
            <w:r w:rsidR="00EE1A5C" w:rsidRPr="003F38E2">
              <w:t xml:space="preserve"> do </w:t>
            </w:r>
            <w:r w:rsidR="00B07FEB" w:rsidRPr="003F38E2">
              <w:t>C</w:t>
            </w:r>
            <w:r w:rsidR="00EE1A5C" w:rsidRPr="003F38E2">
              <w:t>)</w:t>
            </w:r>
            <w:r w:rsidR="00C377DE" w:rsidRPr="003F38E2">
              <w:rPr>
                <w:rStyle w:val="Odwoanieprzypisudolnego"/>
              </w:rPr>
              <w:footnoteReference w:id="2"/>
            </w:r>
          </w:p>
        </w:tc>
        <w:tc>
          <w:tcPr>
            <w:tcW w:w="5977" w:type="dxa"/>
          </w:tcPr>
          <w:p w14:paraId="20976300" w14:textId="1CEC2680" w:rsidR="00663CD8" w:rsidRPr="003F38E2" w:rsidRDefault="00E67FD4" w:rsidP="003F38E2">
            <w:r>
              <w:t>A</w:t>
            </w:r>
          </w:p>
        </w:tc>
      </w:tr>
      <w:tr w:rsidR="00F90925" w:rsidRPr="003F38E2" w14:paraId="2A80D9C8" w14:textId="18233799" w:rsidTr="00B07FEB">
        <w:tc>
          <w:tcPr>
            <w:tcW w:w="3085" w:type="dxa"/>
          </w:tcPr>
          <w:p w14:paraId="36C479C9" w14:textId="77777777" w:rsidR="00F90925" w:rsidRPr="003F38E2" w:rsidRDefault="00F90925" w:rsidP="003F38E2">
            <w:r w:rsidRPr="003F38E2">
              <w:t xml:space="preserve">Data aktualizacji wpisu: </w:t>
            </w:r>
          </w:p>
        </w:tc>
        <w:tc>
          <w:tcPr>
            <w:tcW w:w="5977" w:type="dxa"/>
          </w:tcPr>
          <w:p w14:paraId="1A189DDC" w14:textId="77777777" w:rsidR="00F90925" w:rsidRPr="003F38E2" w:rsidRDefault="00F90925" w:rsidP="003F38E2"/>
        </w:tc>
      </w:tr>
      <w:tr w:rsidR="007F2B23" w:rsidRPr="003F38E2" w14:paraId="6028DB43" w14:textId="77777777" w:rsidTr="00B07FEB">
        <w:tc>
          <w:tcPr>
            <w:tcW w:w="3085" w:type="dxa"/>
          </w:tcPr>
          <w:p w14:paraId="4A45FCE0" w14:textId="65E4B927" w:rsidR="007F2B23" w:rsidRPr="003F38E2" w:rsidRDefault="00D543AC" w:rsidP="003F38E2">
            <w:pPr>
              <w:jc w:val="left"/>
            </w:pPr>
            <w:r w:rsidRPr="003F38E2">
              <w:t>ID i nazwa wyzwania, którego dotyczy proponowane rozwiązanie:</w:t>
            </w:r>
          </w:p>
        </w:tc>
        <w:tc>
          <w:tcPr>
            <w:tcW w:w="5977" w:type="dxa"/>
          </w:tcPr>
          <w:p w14:paraId="0C2C78F2" w14:textId="35DB5279" w:rsidR="00000041" w:rsidRPr="00000041" w:rsidRDefault="00E67FD4" w:rsidP="00000041">
            <w:pPr>
              <w:jc w:val="left"/>
              <w:rPr>
                <w:rFonts w:cstheme="minorHAnsi"/>
              </w:rPr>
            </w:pPr>
            <w:r>
              <w:rPr>
                <w:rFonts w:cstheme="minorHAnsi"/>
              </w:rPr>
              <w:t>M09.</w:t>
            </w:r>
            <w:r w:rsidR="00000041" w:rsidRPr="00000041">
              <w:rPr>
                <w:rFonts w:cstheme="minorHAnsi"/>
              </w:rPr>
              <w:t xml:space="preserve"> </w:t>
            </w:r>
            <w:r w:rsidR="00000041" w:rsidRPr="00000041">
              <w:rPr>
                <w:rFonts w:cstheme="minorHAnsi"/>
                <w:color w:val="000000"/>
              </w:rPr>
              <w:t>Włączenie sektora prywatnego do mieszkalnictwa społecznego (prowizje społeczne)</w:t>
            </w:r>
          </w:p>
          <w:p w14:paraId="53AA0420" w14:textId="21288E7E" w:rsidR="00000041" w:rsidRDefault="00000041" w:rsidP="00000041">
            <w:pPr>
              <w:rPr>
                <w:rFonts w:cstheme="minorHAnsi"/>
              </w:rPr>
            </w:pPr>
          </w:p>
          <w:p w14:paraId="7A030021" w14:textId="48AA9885" w:rsidR="007F2B23" w:rsidRPr="003F38E2" w:rsidRDefault="007F2B23" w:rsidP="003F38E2"/>
        </w:tc>
      </w:tr>
      <w:tr w:rsidR="00F90925" w:rsidRPr="003F38E2" w14:paraId="3617DFE9" w14:textId="361884C3" w:rsidTr="00B07FEB">
        <w:tc>
          <w:tcPr>
            <w:tcW w:w="3085" w:type="dxa"/>
          </w:tcPr>
          <w:p w14:paraId="2C2F8541" w14:textId="77777777" w:rsidR="00F90925" w:rsidRPr="003F38E2" w:rsidRDefault="00F90925" w:rsidP="003F38E2">
            <w:r w:rsidRPr="003F38E2">
              <w:t xml:space="preserve">Autorzy: </w:t>
            </w:r>
          </w:p>
        </w:tc>
        <w:tc>
          <w:tcPr>
            <w:tcW w:w="5977" w:type="dxa"/>
          </w:tcPr>
          <w:p w14:paraId="65A9F0CC" w14:textId="151C428E" w:rsidR="00F90925" w:rsidRPr="003F38E2" w:rsidRDefault="00523595" w:rsidP="003F38E2">
            <w:r>
              <w:t>Agata Twardoch</w:t>
            </w:r>
          </w:p>
        </w:tc>
      </w:tr>
      <w:tr w:rsidR="00F90925" w:rsidRPr="003F38E2" w14:paraId="0C688C6B" w14:textId="0E15D1CB" w:rsidTr="00B07FEB">
        <w:tc>
          <w:tcPr>
            <w:tcW w:w="3085" w:type="dxa"/>
            <w:tcBorders>
              <w:bottom w:val="single" w:sz="4" w:space="0" w:color="auto"/>
            </w:tcBorders>
          </w:tcPr>
          <w:p w14:paraId="4CF5CA8E" w14:textId="77777777" w:rsidR="00F90925" w:rsidRPr="003F38E2" w:rsidRDefault="00F90925" w:rsidP="003F38E2">
            <w:r w:rsidRPr="003F38E2">
              <w:t>Grupa ekspercka:</w:t>
            </w:r>
          </w:p>
        </w:tc>
        <w:tc>
          <w:tcPr>
            <w:tcW w:w="5977" w:type="dxa"/>
            <w:tcBorders>
              <w:bottom w:val="single" w:sz="4" w:space="0" w:color="auto"/>
            </w:tcBorders>
          </w:tcPr>
          <w:p w14:paraId="761E1D01" w14:textId="2BFFD073" w:rsidR="00F90925" w:rsidRPr="003F38E2" w:rsidRDefault="00523595" w:rsidP="003F38E2">
            <w:r>
              <w:t xml:space="preserve">ds. mieszkalnictwa i polityk społecznych </w:t>
            </w:r>
          </w:p>
        </w:tc>
      </w:tr>
      <w:tr w:rsidR="00F323EC" w:rsidRPr="003F38E2" w14:paraId="796229EB" w14:textId="77777777" w:rsidTr="00B07FEB">
        <w:tc>
          <w:tcPr>
            <w:tcW w:w="3085" w:type="dxa"/>
            <w:tcBorders>
              <w:left w:val="nil"/>
              <w:bottom w:val="nil"/>
              <w:right w:val="nil"/>
            </w:tcBorders>
          </w:tcPr>
          <w:p w14:paraId="167C3C17" w14:textId="77777777" w:rsidR="00F323EC" w:rsidRPr="003F38E2" w:rsidRDefault="00F323EC" w:rsidP="003F38E2"/>
        </w:tc>
        <w:tc>
          <w:tcPr>
            <w:tcW w:w="5977" w:type="dxa"/>
            <w:tcBorders>
              <w:left w:val="nil"/>
              <w:bottom w:val="nil"/>
              <w:right w:val="nil"/>
            </w:tcBorders>
          </w:tcPr>
          <w:p w14:paraId="3719F1E8" w14:textId="77777777" w:rsidR="00F323EC" w:rsidRPr="003F38E2" w:rsidRDefault="00F323EC" w:rsidP="003F38E2"/>
        </w:tc>
      </w:tr>
    </w:tbl>
    <w:p w14:paraId="01F88FF4" w14:textId="25A7C6CB" w:rsidR="00AF1E15" w:rsidRPr="003F38E2" w:rsidRDefault="00AF1E15" w:rsidP="003F38E2">
      <w:pPr>
        <w:pStyle w:val="Nagwek3"/>
      </w:pPr>
      <w:r w:rsidRPr="003F38E2">
        <w:t xml:space="preserve">Nazwa </w:t>
      </w:r>
      <w:r w:rsidR="00285A78" w:rsidRPr="003F38E2">
        <w:t>rozwiązania</w:t>
      </w:r>
      <w:r w:rsidR="00F518CE" w:rsidRPr="003F38E2">
        <w:t xml:space="preserve"> [</w:t>
      </w:r>
      <w:r w:rsidR="00CA3D2D" w:rsidRPr="003F38E2">
        <w:t xml:space="preserve">200 </w:t>
      </w:r>
      <w:proofErr w:type="spellStart"/>
      <w:r w:rsidR="00CA3D2D" w:rsidRPr="003F38E2">
        <w:t>zn</w:t>
      </w:r>
      <w:proofErr w:type="spellEnd"/>
      <w:r w:rsidR="007252E4" w:rsidRPr="003F38E2">
        <w:t>.</w:t>
      </w:r>
      <w:r w:rsidR="00CA3D2D" w:rsidRPr="003F38E2">
        <w:rPr>
          <w:rStyle w:val="Odwoanieprzypisudolnego"/>
        </w:rPr>
        <w:footnoteReference w:id="3"/>
      </w:r>
      <w:r w:rsidR="00CA3D2D" w:rsidRPr="003F38E2">
        <w:t>]</w:t>
      </w:r>
      <w:r w:rsidRPr="003F38E2">
        <w:t>:</w:t>
      </w:r>
    </w:p>
    <w:p w14:paraId="02FCA488" w14:textId="78631720" w:rsidR="00000041" w:rsidRDefault="00000041" w:rsidP="00000041">
      <w:pPr>
        <w:rPr>
          <w:rFonts w:cstheme="minorHAnsi"/>
        </w:rPr>
      </w:pPr>
      <w:r>
        <w:rPr>
          <w:rFonts w:cstheme="minorHAnsi"/>
        </w:rPr>
        <w:t>Prowizje społeczne</w:t>
      </w:r>
    </w:p>
    <w:p w14:paraId="0D9DABAD" w14:textId="03CA55BB" w:rsidR="00944C6D" w:rsidRPr="003F38E2" w:rsidRDefault="00353F0C" w:rsidP="003F38E2">
      <w:pPr>
        <w:pStyle w:val="Nagwek3"/>
      </w:pPr>
      <w:r w:rsidRPr="003F38E2">
        <w:t>Zwięzła</w:t>
      </w:r>
      <w:r w:rsidR="000D7675" w:rsidRPr="003F38E2">
        <w:t xml:space="preserve"> c</w:t>
      </w:r>
      <w:r w:rsidR="00944C6D" w:rsidRPr="003F38E2">
        <w:t xml:space="preserve">harakterystyka </w:t>
      </w:r>
      <w:r w:rsidR="002F3DED" w:rsidRPr="003F38E2">
        <w:t xml:space="preserve">proponowanego </w:t>
      </w:r>
      <w:r w:rsidR="00285A78" w:rsidRPr="003F38E2">
        <w:t>rozwiązania</w:t>
      </w:r>
      <w:r w:rsidR="007252E4" w:rsidRPr="003F38E2">
        <w:t xml:space="preserve"> [2000 </w:t>
      </w:r>
      <w:proofErr w:type="spellStart"/>
      <w:r w:rsidR="007252E4" w:rsidRPr="003F38E2">
        <w:t>zn</w:t>
      </w:r>
      <w:proofErr w:type="spellEnd"/>
      <w:r w:rsidR="007252E4" w:rsidRPr="003F38E2">
        <w:t>.]</w:t>
      </w:r>
      <w:r w:rsidR="00944C6D" w:rsidRPr="003F38E2">
        <w:t>:</w:t>
      </w:r>
    </w:p>
    <w:p w14:paraId="19A7D0B9" w14:textId="3E587D14" w:rsidR="00DF5142" w:rsidRDefault="00000041" w:rsidP="003F38E2">
      <w:r>
        <w:t>Narzędzie, dzięki któremu w ramach każdej dużej (np. jak w</w:t>
      </w:r>
      <w:r w:rsidR="00523595">
        <w:t>e</w:t>
      </w:r>
      <w:r>
        <w:t xml:space="preserve"> Wiedniu powyżej 5 mieszkań) inwestycji mieszkaniowej </w:t>
      </w:r>
      <w:r w:rsidR="00F06D15">
        <w:t xml:space="preserve">część mieszkań jest przekazywana do puli mieszkań dostępnych. </w:t>
      </w:r>
    </w:p>
    <w:p w14:paraId="2BCFAAE7" w14:textId="4663F407" w:rsidR="00F06D15" w:rsidRDefault="00F06D15" w:rsidP="003F38E2">
      <w:r>
        <w:t>Warunek taki wpisywany może być do prawa lokalnego, na przykład do miejscowych planów zagospodarowania przestrzennego lub do warunków zabudowy – ważne jest, żeby po pierwsze dotyczył wszystkich terenów mieszkaniowych, a przy okazji był dostosowany do lokalnych uwarunkowań zgodnie z zasadą – im atrakcyjniejsza lokalizacja gwarantująca większe zyski</w:t>
      </w:r>
      <w:r w:rsidR="00BD40EE">
        <w:t>, oraz im mniej mieszkań dostępnych w danej okolicy</w:t>
      </w:r>
      <w:r w:rsidR="00523595">
        <w:t>,</w:t>
      </w:r>
      <w:r w:rsidR="00BD40EE">
        <w:t xml:space="preserve"> </w:t>
      </w:r>
      <w:r>
        <w:t>tym większa prowizja mieszkaniowa</w:t>
      </w:r>
      <w:r w:rsidR="00523595">
        <w:t xml:space="preserve"> (prowizja społeczna)</w:t>
      </w:r>
      <w:r>
        <w:t xml:space="preserve">. </w:t>
      </w:r>
    </w:p>
    <w:p w14:paraId="3A34893D" w14:textId="50B159C2" w:rsidR="00F06D15" w:rsidRDefault="00F06D15" w:rsidP="003F38E2">
      <w:r>
        <w:t>Z punktu widzenia celów jakim ma służyć narzędzie</w:t>
      </w:r>
      <w:r w:rsidR="00BD40EE">
        <w:t xml:space="preserve"> kluczowe jest nierozerwalne połączenie prowizji z lokalizacją</w:t>
      </w:r>
      <w:r w:rsidR="00523595">
        <w:t xml:space="preserve">. Po pierwsze, </w:t>
      </w:r>
      <w:r w:rsidR="00FD17DE">
        <w:t xml:space="preserve">forma i wysokość prowizji </w:t>
      </w:r>
      <w:r w:rsidR="00BD40EE">
        <w:t>uzależniona jest od liczby mieszkań z sektora dostępnego w danej okolicy, a po drugie</w:t>
      </w:r>
      <w:r w:rsidR="00523595">
        <w:t>,</w:t>
      </w:r>
      <w:r w:rsidR="00BD40EE">
        <w:t xml:space="preserve"> nie ma możliwości zamiany prowizji na ekwiwalent finansowy.</w:t>
      </w:r>
    </w:p>
    <w:p w14:paraId="36E7CDB6" w14:textId="0F37142A" w:rsidR="006F5348" w:rsidRDefault="00FD29C8" w:rsidP="003F38E2">
      <w:r>
        <w:t>Wartości prowizji wpisane mogą być w miejscowe plany zagospodarowania przestrzennego lub warunki zabudowy i dostosowane do każdego obszaru – są wtedy uzależnione od poziomu nasycenia danego obszaru mieszkaniami dostępnymi i do niego dostosowują cele dla kolejnych inwestycji</w:t>
      </w:r>
      <w:r w:rsidR="00FD17DE">
        <w:t xml:space="preserve">. To znaczy, że </w:t>
      </w:r>
      <w:r>
        <w:t xml:space="preserve">w obszarze, w którym notuje się 30% mieszkań dostępnych nowe inwestycje objęte będą mniejszą prowizją niż obszary z poziomem 10% mieszkań dostępnych. Ten model stosowany jest np. w </w:t>
      </w:r>
      <w:r w:rsidR="00594F33">
        <w:t>Londynie</w:t>
      </w:r>
      <w:r>
        <w:t xml:space="preserve"> i Paryżu</w:t>
      </w:r>
      <w:r w:rsidR="00120ACC">
        <w:t xml:space="preserve">. </w:t>
      </w:r>
      <w:r w:rsidR="00523595">
        <w:t xml:space="preserve">Przypomnijmy, że w Polsce inwestycje w mieszkania dostępne, w tym w społeczne mieszkania czynszowe, są nieznaczne. W 2018 r. na 185,1 tys. oddanych do użytku mieszkań, mieszkania komunalne stanowiły zaledwie 1,0% </w:t>
      </w:r>
      <w:r w:rsidR="00804712">
        <w:t>ogółu, a w zasobach TBS – 0,8%. W 2019 r. oddano 207,4 tys. mieszkań, z tego 0,9% mieszkań komunalnych i 1,2% wybudowanych przez TBS (dane BDL GUS).</w:t>
      </w:r>
    </w:p>
    <w:p w14:paraId="6CBA8FA7" w14:textId="6DE18818" w:rsidR="00120ACC" w:rsidRDefault="00120ACC" w:rsidP="003F38E2">
      <w:r>
        <w:lastRenderedPageBreak/>
        <w:t xml:space="preserve">Pewną wariacją opisanego modelu jest bilansowanie liczby mieszkań dostępnych w ramach obrębu szkoły podstawowej. Rozwiązanie takie ma uzasadnienie </w:t>
      </w:r>
      <w:r w:rsidR="00594F33">
        <w:t>wtedy,</w:t>
      </w:r>
      <w:r>
        <w:t xml:space="preserve"> gdy szkoły podstawowe podlegają ścisłej rejonizacji, a co za tym idzie przekrój społeczny dzielnicy ma swoje od</w:t>
      </w:r>
      <w:r w:rsidR="00804712">
        <w:t>b</w:t>
      </w:r>
      <w:r>
        <w:t xml:space="preserve">icie w przekroju społecznym wśród </w:t>
      </w:r>
      <w:r w:rsidR="00594F33">
        <w:t>dzieci</w:t>
      </w:r>
      <w:r>
        <w:t xml:space="preserve"> szkolnych. </w:t>
      </w:r>
      <w:r w:rsidR="00594F33">
        <w:t>Model taki obowiązuj</w:t>
      </w:r>
      <w:r w:rsidR="00804712">
        <w:t xml:space="preserve">e </w:t>
      </w:r>
      <w:r w:rsidR="00594F33">
        <w:t>m.in. w Kopenhadze.</w:t>
      </w:r>
    </w:p>
    <w:p w14:paraId="79E912CC" w14:textId="2C7E6106" w:rsidR="00594F33" w:rsidRPr="003F38E2" w:rsidRDefault="00594F33" w:rsidP="003F38E2">
      <w:r>
        <w:t xml:space="preserve">Kolejny model ustalania prowizji społecznych </w:t>
      </w:r>
      <w:r w:rsidR="007955A4">
        <w:t xml:space="preserve">bazuje na stałym poziomie prowizji ustalanych w ramach miasta. Stosowany jest na przykład w Wiedniu, gdzie 2/3 każdej inwestycji powyżej 5 mieszkań przeznaczone musi być na cele dostępnego budownictwa mieszkaniowego. Model taki lepiej sprawdza się w miastach o niewielkim zróżnicowaniu przestrzennym. </w:t>
      </w:r>
    </w:p>
    <w:p w14:paraId="4854431A" w14:textId="505BEFBB" w:rsidR="009A01C2" w:rsidRDefault="00471AAC" w:rsidP="003F38E2">
      <w:pPr>
        <w:pStyle w:val="Nagwek3"/>
      </w:pPr>
      <w:r w:rsidRPr="003F38E2">
        <w:t>Działania szczegółowe</w:t>
      </w:r>
      <w:r w:rsidR="00CA288F" w:rsidRPr="003F38E2">
        <w:t>, narzędzia interwencji</w:t>
      </w:r>
      <w:r w:rsidR="001E1C94" w:rsidRPr="003F38E2">
        <w:t xml:space="preserve"> – szczegółowy opis</w:t>
      </w:r>
      <w:r w:rsidRPr="003F38E2">
        <w:t>:</w:t>
      </w:r>
      <w:r w:rsidR="00C71B9E" w:rsidRPr="003F38E2">
        <w:t xml:space="preserve"> [5000 </w:t>
      </w:r>
      <w:proofErr w:type="spellStart"/>
      <w:r w:rsidR="00C71B9E" w:rsidRPr="003F38E2">
        <w:t>zn</w:t>
      </w:r>
      <w:proofErr w:type="spellEnd"/>
      <w:r w:rsidR="00C71B9E" w:rsidRPr="003F38E2">
        <w:t>.]</w:t>
      </w:r>
    </w:p>
    <w:p w14:paraId="4DCF2E6A" w14:textId="1BFEA9D6" w:rsidR="001E1C94" w:rsidRDefault="006157DD" w:rsidP="003F38E2">
      <w:pPr>
        <w:pStyle w:val="Akapitzlist"/>
        <w:numPr>
          <w:ilvl w:val="0"/>
          <w:numId w:val="22"/>
        </w:numPr>
      </w:pPr>
      <w:r w:rsidRPr="003F38E2">
        <w:t>Specyfikacja barier/wąskich gardeł istniejących zapisów prawnych poprzez wskazanie niefunkcjonalnych i nieadekwatnych rozwiązań w obowiązujących uregulowaniach</w:t>
      </w:r>
    </w:p>
    <w:p w14:paraId="240548B9" w14:textId="0DAE2F7D" w:rsidR="00E97F97" w:rsidRDefault="00EB6501" w:rsidP="00E97F97">
      <w:r>
        <w:t>W obecnym stanie prawnym</w:t>
      </w:r>
      <w:r w:rsidR="00E97F97">
        <w:t xml:space="preserve"> rozwiązania w pewien sposób pokrewne z prowizją społeczną wprowadza ustawa o planowaniu i zagospodarowaniu przestrzennym ustanawiając miejscowe plany rewitalizacji</w:t>
      </w:r>
      <w:r w:rsidR="00804712">
        <w:rPr>
          <w:rStyle w:val="Odwoanieprzypisudolnego"/>
        </w:rPr>
        <w:footnoteReference w:id="4"/>
      </w:r>
      <w:r w:rsidR="00E97F97">
        <w:t xml:space="preserve">. Miejscowy plan rewitalizacji może </w:t>
      </w:r>
      <w:r w:rsidR="000A3C2B">
        <w:t xml:space="preserve">nakładać </w:t>
      </w:r>
      <w:r w:rsidR="00E97F97">
        <w:t xml:space="preserve">na obszar </w:t>
      </w:r>
      <w:r w:rsidR="000A3C2B">
        <w:t xml:space="preserve">objęty tym planem </w:t>
      </w:r>
      <w:r w:rsidR="00E97F97">
        <w:t xml:space="preserve">decyzje prawne wykraczające poza możliwości miejscowych </w:t>
      </w:r>
      <w:r w:rsidR="00E97F97" w:rsidRPr="00E97F97">
        <w:t>planów zagospodarowania przestrzennego</w:t>
      </w:r>
      <w:r w:rsidR="000A3C2B">
        <w:t xml:space="preserve">. Przykładowo, </w:t>
      </w:r>
      <w:r w:rsidR="00E97F97" w:rsidRPr="00E97F97">
        <w:t>może zakazywać prowadzenia działalności handlowej lub usługowej na danej nieruchomości,</w:t>
      </w:r>
      <w:r w:rsidR="00E97F97">
        <w:t xml:space="preserve"> </w:t>
      </w:r>
      <w:r w:rsidR="00E97F97" w:rsidRPr="00E97F97">
        <w:t>uzależniać realizację inwestycji komercyjnej na nieruchomości niezabudowanej od uprzedniej realizacji inwestycji ważnej dla celów gminnej rewitalizacji</w:t>
      </w:r>
      <w:r w:rsidR="000A3C2B">
        <w:t>, na podstawie umowy urbanizacyjnej</w:t>
      </w:r>
      <w:r w:rsidR="00E97F97" w:rsidRPr="00E97F97">
        <w:t>.</w:t>
      </w:r>
      <w:r w:rsidR="00E97F97">
        <w:t xml:space="preserve"> Czyli w praktyce dla nieruchomości położonej w ramach specjalnej strefy rewitalizacji i objętej miejscowym prawem rewitalizacji możliwe byłoby nałożenie obowiązku</w:t>
      </w:r>
      <w:r w:rsidR="000A3C2B">
        <w:t xml:space="preserve">, o jaki chodzi w koncepcji </w:t>
      </w:r>
      <w:r w:rsidR="00E97F97">
        <w:t>prowizji s</w:t>
      </w:r>
      <w:r w:rsidR="000A3C2B">
        <w:t xml:space="preserve">połecznej. </w:t>
      </w:r>
      <w:r w:rsidR="00E97F97">
        <w:t xml:space="preserve"> </w:t>
      </w:r>
    </w:p>
    <w:p w14:paraId="7CBB64E5" w14:textId="7F18D8C8" w:rsidR="00D377EF" w:rsidRPr="00D377EF" w:rsidRDefault="00D1713F" w:rsidP="009D0131">
      <w:pPr>
        <w:rPr>
          <w:rFonts w:cstheme="minorHAnsi"/>
        </w:rPr>
      </w:pPr>
      <w:r>
        <w:rPr>
          <w:rFonts w:cstheme="minorHAnsi"/>
        </w:rPr>
        <w:t>Zapisy te mają postać</w:t>
      </w:r>
      <w:r w:rsidR="007E6ECD" w:rsidRPr="009D0131">
        <w:rPr>
          <w:rFonts w:cstheme="minorHAnsi"/>
        </w:rPr>
        <w:t xml:space="preserve"> umów urbanistycznych obejmujących </w:t>
      </w:r>
      <w:r w:rsidR="009D0131" w:rsidRPr="009D0131">
        <w:rPr>
          <w:rFonts w:cstheme="minorHAnsi"/>
        </w:rPr>
        <w:t xml:space="preserve">nieruchomości </w:t>
      </w:r>
      <w:r w:rsidR="007E6ECD" w:rsidRPr="009D0131">
        <w:rPr>
          <w:rFonts w:cstheme="minorHAnsi"/>
        </w:rPr>
        <w:t>niezabudowane</w:t>
      </w:r>
      <w:r w:rsidR="009D0131" w:rsidRPr="009D0131">
        <w:rPr>
          <w:rFonts w:cstheme="minorHAnsi"/>
        </w:rPr>
        <w:t>. Zgodnie z art. 37i</w:t>
      </w:r>
      <w:r w:rsidR="009D0131">
        <w:rPr>
          <w:rFonts w:cstheme="minorHAnsi"/>
        </w:rPr>
        <w:t>.</w:t>
      </w:r>
      <w:r w:rsidR="009D0131" w:rsidRPr="009D0131">
        <w:rPr>
          <w:rFonts w:cstheme="minorHAnsi"/>
        </w:rPr>
        <w:t xml:space="preserve"> </w:t>
      </w:r>
      <w:r w:rsidR="009D0131" w:rsidRPr="009D0131">
        <w:rPr>
          <w:rFonts w:cstheme="minorHAnsi"/>
          <w:i/>
          <w:iCs/>
        </w:rPr>
        <w:t xml:space="preserve">w miejscowym planie rewitalizacji </w:t>
      </w:r>
      <w:proofErr w:type="spellStart"/>
      <w:r w:rsidR="009D0131" w:rsidRPr="009D0131">
        <w:rPr>
          <w:rFonts w:cstheme="minorHAnsi"/>
          <w:i/>
          <w:iCs/>
        </w:rPr>
        <w:t>można</w:t>
      </w:r>
      <w:proofErr w:type="spellEnd"/>
      <w:r w:rsidR="009D0131" w:rsidRPr="009D0131">
        <w:rPr>
          <w:rFonts w:cstheme="minorHAnsi"/>
          <w:i/>
          <w:iCs/>
        </w:rPr>
        <w:t xml:space="preserve"> </w:t>
      </w:r>
      <w:proofErr w:type="spellStart"/>
      <w:r w:rsidR="009D0131" w:rsidRPr="009D0131">
        <w:rPr>
          <w:rFonts w:cstheme="minorHAnsi"/>
          <w:i/>
          <w:iCs/>
        </w:rPr>
        <w:t>określic</w:t>
      </w:r>
      <w:proofErr w:type="spellEnd"/>
      <w:r w:rsidR="009D0131" w:rsidRPr="009D0131">
        <w:rPr>
          <w:rFonts w:cstheme="minorHAnsi"/>
          <w:i/>
          <w:iCs/>
        </w:rPr>
        <w:t xml:space="preserve">́, w odniesieniu do </w:t>
      </w:r>
      <w:proofErr w:type="spellStart"/>
      <w:r w:rsidR="009D0131" w:rsidRPr="009D0131">
        <w:rPr>
          <w:rFonts w:cstheme="minorHAnsi"/>
          <w:i/>
          <w:iCs/>
        </w:rPr>
        <w:t>nieruchomości</w:t>
      </w:r>
      <w:proofErr w:type="spellEnd"/>
      <w:r w:rsidR="009D0131" w:rsidRPr="009D0131">
        <w:rPr>
          <w:rFonts w:cstheme="minorHAnsi"/>
          <w:i/>
          <w:iCs/>
        </w:rPr>
        <w:t xml:space="preserve"> niezabudowanej, </w:t>
      </w:r>
      <w:proofErr w:type="spellStart"/>
      <w:r w:rsidR="009D0131" w:rsidRPr="009D0131">
        <w:rPr>
          <w:rFonts w:cstheme="minorHAnsi"/>
          <w:i/>
          <w:iCs/>
        </w:rPr>
        <w:t>że</w:t>
      </w:r>
      <w:proofErr w:type="spellEnd"/>
      <w:r w:rsidR="009D0131" w:rsidRPr="009D0131">
        <w:rPr>
          <w:rFonts w:cstheme="minorHAnsi"/>
          <w:i/>
          <w:iCs/>
        </w:rPr>
        <w:t xml:space="preserve"> warunkiem realizacji na niej inwestycji </w:t>
      </w:r>
      <w:proofErr w:type="spellStart"/>
      <w:r w:rsidR="009D0131" w:rsidRPr="009D0131">
        <w:rPr>
          <w:rFonts w:cstheme="minorHAnsi"/>
          <w:i/>
          <w:iCs/>
        </w:rPr>
        <w:t>głównej</w:t>
      </w:r>
      <w:proofErr w:type="spellEnd"/>
      <w:r w:rsidR="009D0131" w:rsidRPr="009D0131">
        <w:rPr>
          <w:rFonts w:cstheme="minorHAnsi"/>
          <w:i/>
          <w:iCs/>
        </w:rPr>
        <w:t xml:space="preserve"> jest </w:t>
      </w:r>
      <w:proofErr w:type="spellStart"/>
      <w:r w:rsidR="009D0131" w:rsidRPr="009D0131">
        <w:rPr>
          <w:rFonts w:cstheme="minorHAnsi"/>
          <w:i/>
          <w:iCs/>
        </w:rPr>
        <w:t>zobowiązanie</w:t>
      </w:r>
      <w:proofErr w:type="spellEnd"/>
      <w:r w:rsidR="009D0131" w:rsidRPr="009D0131">
        <w:rPr>
          <w:rFonts w:cstheme="minorHAnsi"/>
          <w:i/>
          <w:iCs/>
        </w:rPr>
        <w:t xml:space="preserve"> </w:t>
      </w:r>
      <w:proofErr w:type="spellStart"/>
      <w:r w:rsidR="009D0131" w:rsidRPr="009D0131">
        <w:rPr>
          <w:rFonts w:cstheme="minorHAnsi"/>
          <w:i/>
          <w:iCs/>
        </w:rPr>
        <w:t>sie</w:t>
      </w:r>
      <w:proofErr w:type="spellEnd"/>
      <w:r w:rsidR="009D0131" w:rsidRPr="009D0131">
        <w:rPr>
          <w:rFonts w:cstheme="minorHAnsi"/>
          <w:i/>
          <w:iCs/>
        </w:rPr>
        <w:t xml:space="preserve">̨ inwestora do budowy na </w:t>
      </w:r>
      <w:proofErr w:type="spellStart"/>
      <w:r w:rsidR="009D0131" w:rsidRPr="009D0131">
        <w:rPr>
          <w:rFonts w:cstheme="minorHAnsi"/>
          <w:i/>
          <w:iCs/>
        </w:rPr>
        <w:t>swój</w:t>
      </w:r>
      <w:proofErr w:type="spellEnd"/>
      <w:r w:rsidR="009D0131" w:rsidRPr="009D0131">
        <w:rPr>
          <w:rFonts w:cstheme="minorHAnsi"/>
          <w:i/>
          <w:iCs/>
        </w:rPr>
        <w:t xml:space="preserve"> koszt i do nieodpłatnego przekazania na rzecz gminy inwestycji </w:t>
      </w:r>
      <w:proofErr w:type="spellStart"/>
      <w:r w:rsidR="009D0131" w:rsidRPr="009D0131">
        <w:rPr>
          <w:rFonts w:cstheme="minorHAnsi"/>
          <w:i/>
          <w:iCs/>
        </w:rPr>
        <w:t>uzupełniających</w:t>
      </w:r>
      <w:proofErr w:type="spellEnd"/>
      <w:r w:rsidR="009D0131" w:rsidRPr="009D0131">
        <w:rPr>
          <w:rFonts w:cstheme="minorHAnsi"/>
          <w:i/>
          <w:iCs/>
        </w:rPr>
        <w:t xml:space="preserve"> w postaci infrastruktury technicznej, społecznej lub lokali mieszkalnych</w:t>
      </w:r>
      <w:r w:rsidR="009D0131" w:rsidRPr="00D377EF">
        <w:rPr>
          <w:rFonts w:cstheme="minorHAnsi"/>
        </w:rPr>
        <w:t>.</w:t>
      </w:r>
      <w:r w:rsidR="00D377EF" w:rsidRPr="00D377EF">
        <w:rPr>
          <w:rFonts w:cstheme="minorHAnsi"/>
        </w:rPr>
        <w:t xml:space="preserve"> Zobowiązanie takie przyjmuje postać notarialnej umowy urbanistycznej</w:t>
      </w:r>
      <w:r w:rsidR="00D377EF">
        <w:rPr>
          <w:rFonts w:cstheme="minorHAnsi"/>
          <w:i/>
          <w:iCs/>
        </w:rPr>
        <w:t xml:space="preserve">. </w:t>
      </w:r>
    </w:p>
    <w:p w14:paraId="6D3830D0" w14:textId="13382022" w:rsidR="009D0131" w:rsidRDefault="00D377EF" w:rsidP="009D0131">
      <w:pPr>
        <w:rPr>
          <w:rFonts w:cstheme="minorHAnsi"/>
        </w:rPr>
      </w:pPr>
      <w:r w:rsidRPr="00D377EF">
        <w:rPr>
          <w:rFonts w:cstheme="minorHAnsi"/>
        </w:rPr>
        <w:t>Wymia</w:t>
      </w:r>
      <w:r>
        <w:rPr>
          <w:rFonts w:cstheme="minorHAnsi"/>
        </w:rPr>
        <w:t>r zobowiązań wynika w tym przypadku jednak ze wzrostu wartości nieruchomości w związku z uchwaleniem lub zmian</w:t>
      </w:r>
      <w:r w:rsidR="007B2C08">
        <w:rPr>
          <w:rFonts w:cstheme="minorHAnsi"/>
        </w:rPr>
        <w:t>ą</w:t>
      </w:r>
      <w:r>
        <w:rPr>
          <w:rFonts w:cstheme="minorHAnsi"/>
        </w:rPr>
        <w:t xml:space="preserve"> miejscowego planu rewitalizacji. </w:t>
      </w:r>
      <w:r w:rsidR="007B2C08">
        <w:rPr>
          <w:rFonts w:cstheme="minorHAnsi"/>
        </w:rPr>
        <w:t xml:space="preserve">Ma zatem dodatkowe uzasadnienie i odnosi się do bardzo specyficznej </w:t>
      </w:r>
      <w:r w:rsidR="00F03641">
        <w:rPr>
          <w:rFonts w:cstheme="minorHAnsi"/>
        </w:rPr>
        <w:t>sytuacji,</w:t>
      </w:r>
      <w:r w:rsidR="007B2C08">
        <w:rPr>
          <w:rFonts w:cstheme="minorHAnsi"/>
        </w:rPr>
        <w:t xml:space="preserve"> w której nieruchomość jest niezabudowana, znajduje się w specjalnej strefie rewitalizacji a do tego w wyniku uchwalenia nowego prawa lokalnego wzrosła jej wartość. </w:t>
      </w:r>
    </w:p>
    <w:p w14:paraId="30A702FD" w14:textId="09613BF9" w:rsidR="00585D4B" w:rsidRDefault="00585D4B" w:rsidP="00585D4B">
      <w:r>
        <w:t xml:space="preserve">Od kwietnia 2021 obowiązuje </w:t>
      </w:r>
      <w:r w:rsidRPr="00585D4B">
        <w:t>Ustawa z dnia 16 grudnia 2020 r. o rozliczaniu ceny lokali lub budynków w cenie nieruchomości zbywanych z gminnego zasobu nieruchomości</w:t>
      </w:r>
      <w:r>
        <w:rPr>
          <w:rStyle w:val="Odwoanieprzypisudolnego"/>
        </w:rPr>
        <w:footnoteReference w:id="5"/>
      </w:r>
      <w:r w:rsidR="00A7765C">
        <w:t xml:space="preserve">. Zgodnie z tą ustawą gminy mogą oddawać inwestorom prywatnym atrakcyjne nieruchomości w zamian za przekazanie do zasobów gminy ekwiwalentu w postaci lokali mieszkaniowych (lub o innym przeznaczeniu). Zapisy tej ustawy nie zmieniają jednak obowiązującego status quo, w którym po stronie inwestora prywatnego nie leżą żadne zobowiązania względem interesu publicznego, mimo niewątpliwych korzyści finansowych wypływających z </w:t>
      </w:r>
      <w:r w:rsidR="00E51C2F">
        <w:t xml:space="preserve">miejskiej lokalizacji (dostęp do infrastruktury, usług, komunikacji publicznej, miejsc pracy, korzyści z marki miejskiej, etc.). Ustawa lokal za grunt w tym układzie stanowi jedynie inną formę rozliczenia pomiędzy gminą a inwestorem. </w:t>
      </w:r>
    </w:p>
    <w:p w14:paraId="36494108" w14:textId="3D0C6D12" w:rsidR="00E51C2F" w:rsidRPr="00585D4B" w:rsidRDefault="00E51C2F" w:rsidP="00585D4B">
      <w:r>
        <w:t>Koncepcja prowizji społecznych zakłada, że każdy deweloper oddaje gminie (na własność lub w zarząd) pewną cześć wybudowanych mieszkań w ramach równoważenia interesu publicznego</w:t>
      </w:r>
      <w:r w:rsidR="00D1713F">
        <w:t>.</w:t>
      </w:r>
    </w:p>
    <w:p w14:paraId="3BE56D16" w14:textId="77777777" w:rsidR="002B35A2" w:rsidRDefault="009124FD" w:rsidP="003F38E2">
      <w:pPr>
        <w:pStyle w:val="Akapitzlist"/>
        <w:numPr>
          <w:ilvl w:val="0"/>
          <w:numId w:val="22"/>
        </w:numPr>
      </w:pPr>
      <w:r w:rsidRPr="003F38E2">
        <w:t>Wskazanie nowego obszaru do regulacji prawnej</w:t>
      </w:r>
    </w:p>
    <w:p w14:paraId="125E6AB0" w14:textId="31F4A2F5" w:rsidR="009124FD" w:rsidRPr="003F38E2" w:rsidRDefault="002B35A2" w:rsidP="002B35A2">
      <w:r>
        <w:lastRenderedPageBreak/>
        <w:t xml:space="preserve">Proponowane narzędzie </w:t>
      </w:r>
      <w:r w:rsidR="009124FD" w:rsidRPr="003F38E2">
        <w:t xml:space="preserve">– </w:t>
      </w:r>
      <w:r>
        <w:t xml:space="preserve">prowizja społeczna – stanowi innowacyjne rozwiązanie, oparte na założeniach nie funkcjonujących do tej pory w obiegu prawnym. Prowizje </w:t>
      </w:r>
      <w:r w:rsidR="00872003">
        <w:t>społeczne</w:t>
      </w:r>
      <w:r>
        <w:t xml:space="preserve"> jako narządzie nawiązujące </w:t>
      </w:r>
      <w:r w:rsidR="00DC7870">
        <w:t xml:space="preserve">bezpośrednio </w:t>
      </w:r>
      <w:r>
        <w:t xml:space="preserve">do </w:t>
      </w:r>
      <w:r w:rsidR="00DC7870">
        <w:t xml:space="preserve">zrównoważonego rozwoju społecznego i przestrzennego, </w:t>
      </w:r>
      <w:r>
        <w:t>powinny zostać w</w:t>
      </w:r>
      <w:r w:rsidR="00DC7870">
        <w:t xml:space="preserve">prowadzone w jednym z działów planowanej </w:t>
      </w:r>
      <w:r w:rsidR="009124FD" w:rsidRPr="003F38E2">
        <w:t>ustawy o zrównoważonym rozwoju miast</w:t>
      </w:r>
      <w:r w:rsidR="009124FD" w:rsidRPr="003F38E2">
        <w:rPr>
          <w:rStyle w:val="Odwoanieprzypisudolnego"/>
        </w:rPr>
        <w:footnoteReference w:id="6"/>
      </w:r>
      <w:r w:rsidR="00DC7870">
        <w:t xml:space="preserve">. Z racji </w:t>
      </w:r>
      <w:proofErr w:type="spellStart"/>
      <w:r w:rsidR="00DC7870">
        <w:t>nawiązań</w:t>
      </w:r>
      <w:proofErr w:type="spellEnd"/>
      <w:r w:rsidR="00DC7870">
        <w:t xml:space="preserve"> do problematyki planowania przestrzennego wprowadzenie tego rozwiązania powinno też nastąpić w ramach prac nad reformą planowania przestrzennego, zapowiadaną przez rząd na 2023 r.</w:t>
      </w:r>
    </w:p>
    <w:p w14:paraId="5DCC8960" w14:textId="0BF04824" w:rsidR="009A01C2" w:rsidRPr="003F38E2" w:rsidRDefault="004331B6" w:rsidP="003F38E2">
      <w:pPr>
        <w:pStyle w:val="Nagwek3"/>
      </w:pPr>
      <w:r w:rsidRPr="003F38E2">
        <w:t>Podmioty odpowiedzialne za realizację:</w:t>
      </w:r>
    </w:p>
    <w:p w14:paraId="50B40FDE" w14:textId="77777777" w:rsidR="0026546A" w:rsidRPr="003F38E2" w:rsidRDefault="0026546A" w:rsidP="0026546A">
      <w:pPr>
        <w:jc w:val="left"/>
      </w:pPr>
      <w:r w:rsidRPr="007475D3">
        <w:t>Ministerstwo Rozwoju, Pracy i Technologii. </w:t>
      </w:r>
    </w:p>
    <w:p w14:paraId="509BFD75" w14:textId="0CB7FAEE" w:rsidR="000D7675" w:rsidRPr="003F38E2" w:rsidRDefault="00D55F58" w:rsidP="003F38E2">
      <w:pPr>
        <w:pStyle w:val="Nagwek3"/>
      </w:pPr>
      <w:r w:rsidRPr="003F38E2">
        <w:t>Wstępny</w:t>
      </w:r>
      <w:r w:rsidR="006C579C" w:rsidRPr="003F38E2">
        <w:t xml:space="preserve"> harmonogram</w:t>
      </w:r>
      <w:r w:rsidR="0074203F" w:rsidRPr="003F38E2">
        <w:t xml:space="preserve"> i kamienie milowe</w:t>
      </w:r>
      <w:r w:rsidRPr="003F38E2">
        <w:t>:</w:t>
      </w:r>
    </w:p>
    <w:p w14:paraId="4FE321C3" w14:textId="0C4B8655" w:rsidR="00AF1E15" w:rsidRPr="003F38E2" w:rsidRDefault="008846A1" w:rsidP="003F38E2">
      <w:r w:rsidRPr="003F38E2">
        <w:t>[…]</w:t>
      </w:r>
    </w:p>
    <w:p w14:paraId="32AA4919" w14:textId="55211C56" w:rsidR="000945FE" w:rsidRPr="003F38E2" w:rsidRDefault="007F072F" w:rsidP="003F38E2">
      <w:pPr>
        <w:pStyle w:val="Nagwek3"/>
      </w:pPr>
      <w:r w:rsidRPr="003F38E2">
        <w:t>Priorytet</w:t>
      </w:r>
      <w:r w:rsidR="009B4B16" w:rsidRPr="003F38E2">
        <w:t xml:space="preserve">/istotność z punktu widzenia </w:t>
      </w:r>
      <w:r w:rsidR="004E7FA1" w:rsidRPr="003F38E2">
        <w:t>wpływu na wyzwanie/rozwiązanie problemu</w:t>
      </w:r>
      <w:r w:rsidR="00645634" w:rsidRPr="003F38E2">
        <w:t xml:space="preserve"> (oczekiwany efekt)</w:t>
      </w:r>
      <w:r w:rsidR="00DD7E62" w:rsidRPr="003F38E2">
        <w:t>:</w:t>
      </w:r>
    </w:p>
    <w:p w14:paraId="7C723A1C" w14:textId="111C6527" w:rsidR="000945FE" w:rsidRPr="003F38E2" w:rsidRDefault="0026546A" w:rsidP="003F38E2">
      <w:r>
        <w:t xml:space="preserve">Rozwiązanie bardzo istotne </w:t>
      </w:r>
      <w:r w:rsidR="00BC5BE5">
        <w:t xml:space="preserve">dla </w:t>
      </w:r>
      <w:r>
        <w:t xml:space="preserve">rozwiązywania problemu z dostępnością mieszkań oraz z społeczną stratyfikacją przestrzeni miejskiej. </w:t>
      </w:r>
    </w:p>
    <w:p w14:paraId="05BD24EE" w14:textId="21226022" w:rsidR="0059298A" w:rsidRPr="003F38E2" w:rsidRDefault="0059298A" w:rsidP="003F38E2">
      <w:pPr>
        <w:pStyle w:val="Nagwek3"/>
      </w:pPr>
      <w:r w:rsidRPr="003F38E2">
        <w:t xml:space="preserve">Odniesienia do </w:t>
      </w:r>
      <w:r w:rsidR="0059704F" w:rsidRPr="003F38E2">
        <w:t>diagnoz, dodatkowe materiały źródłowe</w:t>
      </w:r>
      <w:r w:rsidR="00F2007F" w:rsidRPr="003F38E2">
        <w:t>, li</w:t>
      </w:r>
      <w:r w:rsidR="00550111" w:rsidRPr="003F38E2">
        <w:t>teratura</w:t>
      </w:r>
      <w:r w:rsidR="0059704F" w:rsidRPr="003F38E2">
        <w:t>:</w:t>
      </w:r>
    </w:p>
    <w:p w14:paraId="51C4636B" w14:textId="40A59462" w:rsidR="00E032CF" w:rsidRPr="00F510D4" w:rsidRDefault="00E032CF" w:rsidP="00E032CF">
      <w:pPr>
        <w:pStyle w:val="Akapitzlist"/>
        <w:numPr>
          <w:ilvl w:val="0"/>
          <w:numId w:val="22"/>
        </w:numPr>
      </w:pPr>
      <w:r w:rsidRPr="00F510D4">
        <w:t>Giecewicz J.; Miejska polityka mieszkaniowa – tereny dostępne warunkiem realizacji programów mieszkań dostępnych – nowelizacja ustawowa w Wiedniu, [w:] HOUSING ENVIRONMENT 30/2020 ARCHITEKTURA XXI WIEKU / THE ARCHITECTURE OF THE 21st CENTURY, DOI: 10.4467/25438700SM.20.005.12208</w:t>
      </w:r>
    </w:p>
    <w:p w14:paraId="686FC750" w14:textId="6498B77F" w:rsidR="00074D7A" w:rsidRPr="00F510D4" w:rsidRDefault="00074D7A" w:rsidP="00074D7A">
      <w:pPr>
        <w:pStyle w:val="Akapitzlist"/>
        <w:numPr>
          <w:ilvl w:val="0"/>
          <w:numId w:val="23"/>
        </w:numPr>
        <w:rPr>
          <w:lang w:val="en-US"/>
        </w:rPr>
      </w:pPr>
      <w:proofErr w:type="spellStart"/>
      <w:r w:rsidRPr="00F510D4">
        <w:rPr>
          <w:lang w:val="en-US"/>
        </w:rPr>
        <w:t>Mialot</w:t>
      </w:r>
      <w:proofErr w:type="spellEnd"/>
      <w:r w:rsidRPr="00F510D4">
        <w:rPr>
          <w:lang w:val="en-US"/>
        </w:rPr>
        <w:t xml:space="preserve"> C., J. Ponce, </w:t>
      </w:r>
      <w:r w:rsidRPr="00F510D4">
        <w:rPr>
          <w:i/>
          <w:lang w:val="en-US"/>
        </w:rPr>
        <w:t>Ten Years of the French DALO and the Catalan Right to Housing Act. European Innovation in the Fields of Land Use Planning and Housing</w:t>
      </w:r>
      <w:r w:rsidRPr="00F510D4">
        <w:rPr>
          <w:lang w:val="en-US"/>
        </w:rPr>
        <w:t>, „</w:t>
      </w:r>
      <w:r w:rsidRPr="00F510D4">
        <w:rPr>
          <w:rStyle w:val="InternetLink"/>
          <w:bCs/>
          <w:color w:val="000000" w:themeColor="text1"/>
          <w:u w:val="none"/>
          <w:lang w:val="en-US"/>
        </w:rPr>
        <w:t>Journal of Comparative Urban Law and Policy”</w:t>
      </w:r>
      <w:r w:rsidRPr="00F510D4">
        <w:rPr>
          <w:bCs/>
          <w:color w:val="000000" w:themeColor="text1"/>
          <w:lang w:val="en-US"/>
        </w:rPr>
        <w:t xml:space="preserve"> 2017, t. </w:t>
      </w:r>
      <w:r w:rsidRPr="00F510D4">
        <w:rPr>
          <w:color w:val="000000" w:themeColor="text1"/>
          <w:lang w:val="en-US"/>
        </w:rPr>
        <w:t>2, nr 1</w:t>
      </w:r>
      <w:r w:rsidR="00252752" w:rsidRPr="00F510D4">
        <w:rPr>
          <w:color w:val="000000" w:themeColor="text1"/>
          <w:lang w:val="en-US"/>
        </w:rPr>
        <w:t>.</w:t>
      </w:r>
    </w:p>
    <w:p w14:paraId="3ECECE25" w14:textId="2BCC9AA2" w:rsidR="00F77367" w:rsidRPr="00F510D4" w:rsidRDefault="00F03641" w:rsidP="003F38E2">
      <w:pPr>
        <w:pStyle w:val="Akapitzlist"/>
        <w:numPr>
          <w:ilvl w:val="0"/>
          <w:numId w:val="23"/>
        </w:numPr>
      </w:pPr>
      <w:proofErr w:type="spellStart"/>
      <w:r w:rsidRPr="00F510D4">
        <w:t>Szalchetko</w:t>
      </w:r>
      <w:proofErr w:type="spellEnd"/>
      <w:r w:rsidRPr="00F510D4">
        <w:t xml:space="preserve"> J.: Miejscowy plan rewitalizacji a miejscowy plan zagospodarowania przestrzennego. Różnice w zakresie przedmiotowym upoważnienia ustawowego </w:t>
      </w:r>
      <w:r w:rsidR="00014252" w:rsidRPr="00F510D4">
        <w:t>[w:] METROPOLITAN NR 1 (7)/2017, str. 40 – 59.</w:t>
      </w:r>
    </w:p>
    <w:p w14:paraId="379BC40B" w14:textId="65D05013" w:rsidR="00A84AA2" w:rsidRDefault="00A84AA2" w:rsidP="003F38E2">
      <w:pPr>
        <w:pStyle w:val="Nagwek3"/>
        <w:shd w:val="clear" w:color="auto" w:fill="FFFFFF" w:themeFill="background1"/>
      </w:pPr>
      <w:r w:rsidRPr="003F38E2">
        <w:t>Powiązane akty prawne</w:t>
      </w:r>
      <w:r w:rsidR="00154D56" w:rsidRPr="003F38E2">
        <w:t xml:space="preserve">, </w:t>
      </w:r>
      <w:r w:rsidR="00286A0A" w:rsidRPr="00CA71A8">
        <w:t>i</w:t>
      </w:r>
      <w:r w:rsidR="00154D56" w:rsidRPr="00CA71A8">
        <w:t>dentyfikacja obszaru prawnego wymagającego poprawy (odniesienie do istniejącego stanu prawnego)</w:t>
      </w:r>
      <w:r w:rsidRPr="00CA71A8">
        <w:t>:</w:t>
      </w:r>
    </w:p>
    <w:p w14:paraId="036E4FEE" w14:textId="77777777" w:rsidR="0075422E" w:rsidRPr="0075422E" w:rsidRDefault="0075422E" w:rsidP="0075422E">
      <w:pPr>
        <w:pStyle w:val="Akapitzlist"/>
        <w:numPr>
          <w:ilvl w:val="0"/>
          <w:numId w:val="26"/>
        </w:numPr>
      </w:pPr>
      <w:r w:rsidRPr="0075422E">
        <w:rPr>
          <w:iCs/>
        </w:rPr>
        <w:t>Narodowy Program Mieszkaniowy, https://www.gov.pl/web/rozwoj-praca-technologia/narodowy-program-mieszkaniowy, dostęp 03.2021.</w:t>
      </w:r>
    </w:p>
    <w:p w14:paraId="39FD0F4A" w14:textId="79342580" w:rsidR="0075422E" w:rsidRPr="0075422E" w:rsidRDefault="0075422E" w:rsidP="0075422E">
      <w:pPr>
        <w:pStyle w:val="Akapitzlist"/>
        <w:numPr>
          <w:ilvl w:val="0"/>
          <w:numId w:val="26"/>
        </w:numPr>
      </w:pPr>
      <w:r w:rsidRPr="0075422E">
        <w:t xml:space="preserve">Ustawa z dnia 9 października 2015 r. o rewitalizacji, </w:t>
      </w:r>
      <w:r w:rsidR="00BC5BE5">
        <w:t xml:space="preserve">Dz.U. z 2021, poz. </w:t>
      </w:r>
      <w:r w:rsidR="0099528F">
        <w:t>485 (tekst jednolity)</w:t>
      </w:r>
    </w:p>
    <w:p w14:paraId="4DED3084" w14:textId="7B908291" w:rsidR="0075422E" w:rsidRPr="0075422E" w:rsidRDefault="0075422E" w:rsidP="0075422E">
      <w:pPr>
        <w:pStyle w:val="Akapitzlist"/>
        <w:numPr>
          <w:ilvl w:val="0"/>
          <w:numId w:val="26"/>
        </w:numPr>
      </w:pPr>
      <w:r w:rsidRPr="0075422E">
        <w:t xml:space="preserve">Ustawa z dnia 5 lipca 2018 r. o ułatwieniach w przygotowaniu i realizacji inwestycji mieszkaniowych oraz inwestycji towarzyszących, Dz. U. </w:t>
      </w:r>
      <w:r w:rsidR="0099528F">
        <w:t xml:space="preserve">z </w:t>
      </w:r>
      <w:r w:rsidRPr="0075422E">
        <w:t>2018 poz. 1496.</w:t>
      </w:r>
    </w:p>
    <w:p w14:paraId="1F6B2341" w14:textId="7D5F5735" w:rsidR="0075422E" w:rsidRPr="0075422E" w:rsidRDefault="0075422E" w:rsidP="0075422E">
      <w:pPr>
        <w:pStyle w:val="Akapitzlist"/>
        <w:numPr>
          <w:ilvl w:val="0"/>
          <w:numId w:val="26"/>
        </w:numPr>
      </w:pPr>
      <w:r w:rsidRPr="0075422E">
        <w:t xml:space="preserve">Ustawa z dnia 27 marca 2003 r. o planowaniu i zagospodarowaniu przestrzennym. Dz.U. </w:t>
      </w:r>
      <w:r w:rsidR="00A652A8">
        <w:t xml:space="preserve">z 2021 poz. 741 (tekst jednolity). </w:t>
      </w:r>
    </w:p>
    <w:p w14:paraId="6C342C48" w14:textId="77777777" w:rsidR="0075422E" w:rsidRPr="0075422E" w:rsidRDefault="0075422E" w:rsidP="0075422E">
      <w:pPr>
        <w:pStyle w:val="Akapitzlist"/>
        <w:numPr>
          <w:ilvl w:val="0"/>
          <w:numId w:val="26"/>
        </w:numPr>
      </w:pPr>
      <w:r w:rsidRPr="0075422E">
        <w:t>Ustawa z dnia 16 grudnia 2020 r. o rozliczaniu ceny lokali lub budynków w cenie nieruchomości zbywanych z gminnego zasobu nieruchomości (Dz. U. z 2021 r. poz. 223) </w:t>
      </w:r>
    </w:p>
    <w:p w14:paraId="039CCC30" w14:textId="77777777" w:rsidR="00586DBE" w:rsidRPr="00586DBE" w:rsidRDefault="00586DBE" w:rsidP="0075422E">
      <w:pPr>
        <w:pStyle w:val="Akapitzlist"/>
      </w:pPr>
    </w:p>
    <w:p w14:paraId="4F656610" w14:textId="39E452C6" w:rsidR="00D434B2" w:rsidRPr="003F38E2" w:rsidRDefault="00D434B2" w:rsidP="003F38E2">
      <w:pPr>
        <w:pStyle w:val="Nagwek3"/>
      </w:pPr>
      <w:r w:rsidRPr="003F38E2">
        <w:t>Przykłady podobnych rozwiązań w innych krajach (jeśli znane)</w:t>
      </w:r>
    </w:p>
    <w:p w14:paraId="38BA08BF" w14:textId="77777777" w:rsidR="00E53786" w:rsidRPr="00E53786" w:rsidRDefault="006F5348" w:rsidP="006F5348">
      <w:pPr>
        <w:pStyle w:val="Akapitzlist"/>
        <w:numPr>
          <w:ilvl w:val="0"/>
          <w:numId w:val="25"/>
        </w:num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cstheme="majorHAnsi"/>
        </w:rPr>
      </w:pPr>
      <w:r>
        <w:t xml:space="preserve">Dania </w:t>
      </w:r>
    </w:p>
    <w:p w14:paraId="75A4CE65" w14:textId="3CC3A5BD" w:rsidR="006F5348" w:rsidRPr="00E53786" w:rsidRDefault="006F5348" w:rsidP="00E537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cstheme="majorHAnsi"/>
        </w:rPr>
      </w:pPr>
      <w:r>
        <w:lastRenderedPageBreak/>
        <w:t xml:space="preserve">Zgodnie z założeniami </w:t>
      </w:r>
      <w:proofErr w:type="spellStart"/>
      <w:r w:rsidRPr="00E53786">
        <w:rPr>
          <w:rFonts w:cstheme="majorHAnsi"/>
        </w:rPr>
        <w:t>Kommuneplan</w:t>
      </w:r>
      <w:proofErr w:type="spellEnd"/>
      <w:r w:rsidRPr="00E53786">
        <w:rPr>
          <w:rFonts w:cstheme="majorHAnsi"/>
        </w:rPr>
        <w:t xml:space="preserve"> 15</w:t>
      </w:r>
      <w:r>
        <w:rPr>
          <w:rStyle w:val="Odwoanieprzypisudolnego"/>
          <w:rFonts w:cstheme="majorHAnsi"/>
        </w:rPr>
        <w:footnoteReference w:id="7"/>
      </w:r>
      <w:r w:rsidRPr="00E53786">
        <w:rPr>
          <w:rFonts w:cstheme="majorHAnsi"/>
        </w:rPr>
        <w:t xml:space="preserve"> 20% zabudowy mieszkaniowej w Kopenhadze mają stanowić mieszkania socjalne</w:t>
      </w:r>
      <w:r>
        <w:rPr>
          <w:rStyle w:val="Odwoanieprzypisudolnego"/>
          <w:rFonts w:cstheme="majorHAnsi"/>
        </w:rPr>
        <w:footnoteReference w:id="8"/>
      </w:r>
      <w:r w:rsidRPr="00E53786">
        <w:rPr>
          <w:rFonts w:cstheme="majorHAnsi"/>
        </w:rPr>
        <w:t>. Do planów miejscowych można wpisywać wymogi odnośnie zabudowy socjalnej (prowizje obowiązujące deweloperów), która może stanowić do 25% nowych mieszkań, w zależności od zapotrzebowania w danym sąsiedztwie. Najwięcej mieszkań socjalnych ma powstać tam, gdzie ich obecnie brakuje. Z kolei na obszarach, gdzie jest więcej niż 30% zabudowy socjalnej nie wpisuje się prowizji do planów miejscowych, dzięki czemu budowa na obszarach zdegradowanych może okazać się dla deweloperów bardziej atrakcyjna.</w:t>
      </w:r>
    </w:p>
    <w:p w14:paraId="4E8EEF9A" w14:textId="77777777" w:rsidR="006F5348" w:rsidRPr="002606DF" w:rsidRDefault="006F5348" w:rsidP="00E53786">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cstheme="majorHAnsi"/>
        </w:rPr>
      </w:pPr>
      <w:r w:rsidRPr="002606DF">
        <w:rPr>
          <w:rFonts w:cstheme="majorHAnsi"/>
        </w:rPr>
        <w:t xml:space="preserve">Przed opracowaniem planów miejscowych sprawdza się zatem jaki odsetek mieszkań socjalnych przypada na okręg szkolny. Przyjęto, że szkoły powinny stanowić centrum dzielnicy, gdyż wykorzystywane są także jako centra spotkań wspólnot sąsiedzkich. Za najbardziej pożądany uznaje się odsetek pomiędzy 20 - 30% mieszkań socjalnych na każdą szkołę podstawową. Prowizję nowych mieszkań socjalnych ustala się tak, żeby spełnione były te proporcje. </w:t>
      </w:r>
    </w:p>
    <w:p w14:paraId="5153475A" w14:textId="77777777" w:rsidR="00E53786" w:rsidRDefault="0075422E" w:rsidP="00E53786">
      <w:pPr>
        <w:pStyle w:val="Akapitzlist"/>
        <w:numPr>
          <w:ilvl w:val="0"/>
          <w:numId w:val="24"/>
        </w:numPr>
      </w:pPr>
      <w:r>
        <w:t xml:space="preserve">Niemcy </w:t>
      </w:r>
    </w:p>
    <w:p w14:paraId="716BA7E9" w14:textId="04FF4DAB" w:rsidR="00E53786" w:rsidRPr="00E53786" w:rsidRDefault="0075422E" w:rsidP="00E53786">
      <w:pPr>
        <w:rPr>
          <w:rFonts w:cstheme="minorHAnsi"/>
        </w:rPr>
      </w:pPr>
      <w:r w:rsidRPr="00E53786">
        <w:rPr>
          <w:rFonts w:cstheme="minorHAnsi"/>
        </w:rPr>
        <w:t xml:space="preserve">Berliner </w:t>
      </w:r>
      <w:proofErr w:type="spellStart"/>
      <w:r w:rsidRPr="00E53786">
        <w:rPr>
          <w:rFonts w:cstheme="minorHAnsi"/>
        </w:rPr>
        <w:t>Modell</w:t>
      </w:r>
      <w:proofErr w:type="spellEnd"/>
      <w:r w:rsidRPr="00E53786">
        <w:rPr>
          <w:rFonts w:cstheme="minorHAnsi"/>
        </w:rPr>
        <w:t xml:space="preserve"> der </w:t>
      </w:r>
      <w:proofErr w:type="spellStart"/>
      <w:r w:rsidRPr="00E53786">
        <w:rPr>
          <w:rFonts w:cstheme="minorHAnsi"/>
        </w:rPr>
        <w:t>kooperativen</w:t>
      </w:r>
      <w:proofErr w:type="spellEnd"/>
      <w:r w:rsidRPr="00E53786">
        <w:rPr>
          <w:rFonts w:cstheme="minorHAnsi"/>
        </w:rPr>
        <w:t xml:space="preserve"> </w:t>
      </w:r>
      <w:proofErr w:type="spellStart"/>
      <w:r w:rsidRPr="00E53786">
        <w:rPr>
          <w:rFonts w:cstheme="minorHAnsi"/>
        </w:rPr>
        <w:t>Baulandentwicklung</w:t>
      </w:r>
      <w:proofErr w:type="spellEnd"/>
      <w:r w:rsidRPr="00E53786">
        <w:rPr>
          <w:rFonts w:cstheme="minorHAnsi"/>
          <w:vertAlign w:val="superscript"/>
        </w:rPr>
        <w:footnoteReference w:id="9"/>
      </w:r>
      <w:r w:rsidRPr="00E53786">
        <w:rPr>
          <w:rFonts w:cstheme="minorHAnsi"/>
        </w:rPr>
        <w:t xml:space="preserve"> Berliński model współpracy mieszkaniowej. Od 2014 roku obowiązuje oficjalny model współpracy z wszystkimi podmiotami budującymi mieszkania w mieście, według którego wydawane są pozwolenia na budowę. W ramach modelu zakłada się na przykład obowiązek przeznaczenia 30% powierzchni mieszkań pod mieszkania na wynajem. Podmioty budujące mieszkania muszą także partycypować w kosztach budowy infrastruktury społecznej, na przykład zapewnienia odpowiedniej liczby miejsc w przedszkolach i szkołach.</w:t>
      </w:r>
      <w:r w:rsidRPr="00E53786">
        <w:rPr>
          <w:rFonts w:cstheme="minorHAnsi"/>
          <w:vertAlign w:val="superscript"/>
        </w:rPr>
        <w:footnoteReference w:id="10"/>
      </w:r>
    </w:p>
    <w:p w14:paraId="7D9B303D" w14:textId="2BD7EB0F" w:rsidR="00E53786" w:rsidRPr="00E53786" w:rsidRDefault="00E53786" w:rsidP="00E53786">
      <w:pPr>
        <w:rPr>
          <w:rFonts w:cstheme="minorHAnsi"/>
        </w:rPr>
      </w:pPr>
      <w:proofErr w:type="spellStart"/>
      <w:r w:rsidRPr="00E53786">
        <w:rPr>
          <w:rFonts w:cstheme="minorHAnsi"/>
          <w:color w:val="000000"/>
          <w:u w:color="000000"/>
        </w:rPr>
        <w:t>Kommunaler</w:t>
      </w:r>
      <w:proofErr w:type="spellEnd"/>
      <w:r w:rsidRPr="00E53786">
        <w:rPr>
          <w:rFonts w:cstheme="minorHAnsi"/>
          <w:color w:val="000000"/>
          <w:u w:color="000000"/>
        </w:rPr>
        <w:t xml:space="preserve"> </w:t>
      </w:r>
      <w:proofErr w:type="spellStart"/>
      <w:r w:rsidRPr="00E53786">
        <w:rPr>
          <w:rFonts w:cstheme="minorHAnsi"/>
          <w:color w:val="000000"/>
          <w:u w:color="000000"/>
        </w:rPr>
        <w:t>Baulandbeschluss</w:t>
      </w:r>
      <w:proofErr w:type="spellEnd"/>
      <w:r w:rsidRPr="00E53786">
        <w:rPr>
          <w:rFonts w:cstheme="minorHAnsi"/>
          <w:color w:val="000000"/>
          <w:u w:color="000000"/>
        </w:rPr>
        <w:t xml:space="preserve"> </w:t>
      </w:r>
      <w:r w:rsidR="00D61869">
        <w:rPr>
          <w:rFonts w:cstheme="minorHAnsi"/>
          <w:color w:val="000000"/>
          <w:u w:color="000000"/>
        </w:rPr>
        <w:t xml:space="preserve">- </w:t>
      </w:r>
      <w:r w:rsidRPr="00E53786">
        <w:rPr>
          <w:rFonts w:cstheme="minorHAnsi"/>
          <w:color w:val="000000"/>
          <w:u w:color="000000"/>
        </w:rPr>
        <w:t>gmina ma możliwość przeznaczenia konkretnych gruntów jedynie pod zabudowę komunalną.</w:t>
      </w:r>
    </w:p>
    <w:p w14:paraId="1D763675" w14:textId="5E084064" w:rsidR="00E53786" w:rsidRPr="00E53786" w:rsidRDefault="00E53786" w:rsidP="00E53786">
      <w:pPr>
        <w:rPr>
          <w:rFonts w:cstheme="minorHAnsi"/>
        </w:rPr>
      </w:pPr>
      <w:r w:rsidRPr="00E53786">
        <w:rPr>
          <w:rFonts w:cstheme="minorHAnsi"/>
          <w:color w:val="000000"/>
        </w:rPr>
        <w:t xml:space="preserve">Cel </w:t>
      </w:r>
      <w:proofErr w:type="spellStart"/>
      <w:r w:rsidRPr="00E53786">
        <w:rPr>
          <w:rFonts w:cstheme="minorHAnsi"/>
          <w:color w:val="000000"/>
        </w:rPr>
        <w:t>StEP</w:t>
      </w:r>
      <w:proofErr w:type="spellEnd"/>
      <w:r w:rsidRPr="00E53786">
        <w:rPr>
          <w:rFonts w:cstheme="minorHAnsi"/>
          <w:color w:val="000000"/>
        </w:rPr>
        <w:t xml:space="preserve"> 2030 zakłada, że 50% wybudowanych do 2030 roku mieszkań to mają być mieszkania dostępne.</w:t>
      </w:r>
      <w:r w:rsidRPr="00E53786">
        <w:rPr>
          <w:rFonts w:cstheme="minorHAnsi"/>
          <w:vertAlign w:val="superscript"/>
        </w:rPr>
        <w:footnoteReference w:id="11"/>
      </w:r>
    </w:p>
    <w:p w14:paraId="0E4D7174" w14:textId="7D464638" w:rsidR="006F5348" w:rsidRDefault="00122D9C" w:rsidP="006F5348">
      <w:pPr>
        <w:pStyle w:val="Akapitzlist"/>
        <w:numPr>
          <w:ilvl w:val="0"/>
          <w:numId w:val="24"/>
        </w:numPr>
      </w:pPr>
      <w:r>
        <w:t>Wiedeń (w Wiedniu obowiązuję odrębne przepisy niż w reszcie Austrii)</w:t>
      </w:r>
    </w:p>
    <w:p w14:paraId="0540D3E7" w14:textId="7F73C0A9" w:rsidR="00122D9C" w:rsidRPr="00122D9C" w:rsidRDefault="00122D9C" w:rsidP="00122D9C">
      <w:r>
        <w:t xml:space="preserve">Od </w:t>
      </w:r>
      <w:r w:rsidRPr="00122D9C">
        <w:t xml:space="preserve">01.03.2019. </w:t>
      </w:r>
      <w:r>
        <w:t>u</w:t>
      </w:r>
      <w:r w:rsidRPr="00122D9C">
        <w:t xml:space="preserve">zyskanie pozwolenia na </w:t>
      </w:r>
      <w:proofErr w:type="spellStart"/>
      <w:r w:rsidRPr="00122D9C">
        <w:t>budowe</w:t>
      </w:r>
      <w:proofErr w:type="spellEnd"/>
      <w:r w:rsidRPr="00122D9C">
        <w:t xml:space="preserve">̨ dla inwestycji mieszkaniowych, jest </w:t>
      </w:r>
      <w:proofErr w:type="spellStart"/>
      <w:r w:rsidRPr="00122D9C">
        <w:t>uzależnione</w:t>
      </w:r>
      <w:proofErr w:type="spellEnd"/>
      <w:r w:rsidRPr="00122D9C">
        <w:t xml:space="preserve"> od realizacji 2/3 przewidzianej powierzchni </w:t>
      </w:r>
      <w:proofErr w:type="spellStart"/>
      <w:r w:rsidRPr="00122D9C">
        <w:t>użytkowej</w:t>
      </w:r>
      <w:proofErr w:type="spellEnd"/>
      <w:r w:rsidRPr="00122D9C">
        <w:t xml:space="preserve"> </w:t>
      </w:r>
      <w:proofErr w:type="spellStart"/>
      <w:r w:rsidRPr="00122D9C">
        <w:t>mieszkan</w:t>
      </w:r>
      <w:proofErr w:type="spellEnd"/>
      <w:r w:rsidRPr="00122D9C">
        <w:t xml:space="preserve">́ w formule </w:t>
      </w:r>
      <w:proofErr w:type="spellStart"/>
      <w:r w:rsidRPr="00122D9C">
        <w:t>mieszkan</w:t>
      </w:r>
      <w:proofErr w:type="spellEnd"/>
      <w:r w:rsidRPr="00122D9C">
        <w:t xml:space="preserve">́ subwencjonowanych, a </w:t>
      </w:r>
      <w:proofErr w:type="spellStart"/>
      <w:r w:rsidRPr="00122D9C">
        <w:t>więc</w:t>
      </w:r>
      <w:proofErr w:type="spellEnd"/>
      <w:r w:rsidRPr="00122D9C">
        <w:t xml:space="preserve"> </w:t>
      </w:r>
      <w:proofErr w:type="spellStart"/>
      <w:r w:rsidRPr="00122D9C">
        <w:t>dostępnych</w:t>
      </w:r>
      <w:proofErr w:type="spellEnd"/>
      <w:r w:rsidR="005307A2">
        <w:rPr>
          <w:rStyle w:val="Odwoanieprzypisudolnego"/>
        </w:rPr>
        <w:footnoteReference w:id="12"/>
      </w:r>
    </w:p>
    <w:p w14:paraId="0C00D339" w14:textId="0E5485E4" w:rsidR="00122D9C" w:rsidRDefault="000D4AE0" w:rsidP="000D4AE0">
      <w:pPr>
        <w:pStyle w:val="Akapitzlist"/>
        <w:numPr>
          <w:ilvl w:val="0"/>
          <w:numId w:val="24"/>
        </w:numPr>
      </w:pPr>
      <w:r>
        <w:t>Francja</w:t>
      </w:r>
    </w:p>
    <w:p w14:paraId="45182CE1" w14:textId="7568BF4C" w:rsidR="000D4AE0" w:rsidRPr="000D4AE0" w:rsidRDefault="000D4AE0" w:rsidP="000D4AE0">
      <w:r w:rsidRPr="000D4AE0">
        <w:t>25% mieszkań w każdej gminie / dzielnicy do 2025 roku i 30% mieszkań socjalnych do 2030 roku</w:t>
      </w:r>
      <w:r>
        <w:t xml:space="preserve"> mają stanowić mieszkania dostępne</w:t>
      </w:r>
      <w:r w:rsidRPr="000D4AE0">
        <w:rPr>
          <w:vertAlign w:val="superscript"/>
        </w:rPr>
        <w:footnoteReference w:id="13"/>
      </w:r>
      <w:r w:rsidRPr="000D4AE0">
        <w:t>. Podkreśla się, że odsetek ten musi się bilansować w każdej jednostce; obecnie pewne gminy mają 20% mieszkań socjalnych, a pewne 40% co</w:t>
      </w:r>
      <w:r w:rsidR="00C555EF">
        <w:t xml:space="preserve"> w obu przypadkach </w:t>
      </w:r>
      <w:r w:rsidRPr="000D4AE0">
        <w:t>jest identyfikowane jako zjawisko niepożądane. Dodatkowo 20% nowych mieszkań deweloperskich (każdego zespołu mieszkaniowego większego niż 800m</w:t>
      </w:r>
      <w:r w:rsidRPr="000D4AE0">
        <w:rPr>
          <w:vertAlign w:val="superscript"/>
        </w:rPr>
        <w:t>2</w:t>
      </w:r>
      <w:r w:rsidRPr="000D4AE0">
        <w:t xml:space="preserve">) ma być </w:t>
      </w:r>
      <w:r w:rsidRPr="000D4AE0">
        <w:lastRenderedPageBreak/>
        <w:t>przeznaczane na potrzeby budownictwa dostępnego</w:t>
      </w:r>
      <w:r w:rsidRPr="000D4AE0">
        <w:rPr>
          <w:vertAlign w:val="superscript"/>
        </w:rPr>
        <w:footnoteReference w:id="14"/>
      </w:r>
      <w:r w:rsidRPr="000D4AE0">
        <w:t xml:space="preserve">, a w obszarach deficytu mieszkań socjalnych nawet do 30%. Procent liczony ma być jako % powierzchni całego zespołu, nie jako liczba mieszkań. Przepis obowiązuje także w przypadku, gdy jest to renowacja, a nie budowa. </w:t>
      </w:r>
    </w:p>
    <w:p w14:paraId="4B7E9BD0" w14:textId="77777777" w:rsidR="000D4AE0" w:rsidRPr="000D4AE0" w:rsidRDefault="000D4AE0" w:rsidP="000D4AE0">
      <w:r w:rsidRPr="000D4AE0">
        <w:t xml:space="preserve">W planach miejscowych stosuje się oznaczania minimalnego % powierzchni inwestycji który ma zostać przeznaczony jako funkcja mieszkaniowa i minimalnego procenta, który ma zostać przeznaczony jako mieszkania socjalne. </w:t>
      </w:r>
    </w:p>
    <w:p w14:paraId="0E0A673B" w14:textId="4E7FC2FD" w:rsidR="00485014" w:rsidRPr="00C555EF" w:rsidRDefault="004F223E" w:rsidP="00C555EF">
      <w:pPr>
        <w:rPr>
          <w:rFonts w:cs="Arial"/>
        </w:rPr>
      </w:pPr>
      <w:r>
        <w:t xml:space="preserve">Mimo że </w:t>
      </w:r>
      <w:r>
        <w:rPr>
          <w:rFonts w:cs="Arial"/>
        </w:rPr>
        <w:t>francuskie prawo zobowiązuje gminy pod groźbą kary finansowej, by co najmniej 20% wszystkich mieszkań na ich terenie stanowiły mieszkania dostępne, część zamożnych gmin woli zapłacić karę, niż budować mieszkania socjalne</w:t>
      </w:r>
      <w:r>
        <w:rPr>
          <w:rStyle w:val="FootnoteAnchor"/>
          <w:rFonts w:cs="Arial"/>
        </w:rPr>
        <w:footnoteReference w:id="15"/>
      </w:r>
      <w:r>
        <w:rPr>
          <w:rFonts w:cs="Arial"/>
        </w:rPr>
        <w:t>.</w:t>
      </w:r>
    </w:p>
    <w:sectPr w:rsidR="00485014" w:rsidRPr="00C555EF" w:rsidSect="008C512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C898D" w14:textId="77777777" w:rsidR="00BA18EE" w:rsidRDefault="00BA18EE" w:rsidP="005B177E">
      <w:r>
        <w:separator/>
      </w:r>
    </w:p>
  </w:endnote>
  <w:endnote w:type="continuationSeparator" w:id="0">
    <w:p w14:paraId="7E6F9A41" w14:textId="77777777" w:rsidR="00BA18EE" w:rsidRDefault="00BA18EE" w:rsidP="005B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495798"/>
      <w:docPartObj>
        <w:docPartGallery w:val="Page Numbers (Bottom of Page)"/>
        <w:docPartUnique/>
      </w:docPartObj>
    </w:sdtPr>
    <w:sdtEndPr/>
    <w:sdtContent>
      <w:p w14:paraId="2FD735AB" w14:textId="461A2D32" w:rsidR="00850550" w:rsidRDefault="00850550">
        <w:pPr>
          <w:pStyle w:val="Stopka"/>
          <w:jc w:val="center"/>
        </w:pPr>
        <w:r>
          <w:fldChar w:fldCharType="begin"/>
        </w:r>
        <w:r>
          <w:instrText>PAGE   \* MERGEFORMAT</w:instrText>
        </w:r>
        <w:r>
          <w:fldChar w:fldCharType="separate"/>
        </w:r>
        <w:r w:rsidR="00030F60">
          <w:rPr>
            <w:noProof/>
          </w:rPr>
          <w:t>1</w:t>
        </w:r>
        <w:r>
          <w:fldChar w:fldCharType="end"/>
        </w:r>
      </w:p>
    </w:sdtContent>
  </w:sdt>
  <w:p w14:paraId="3513E2F5" w14:textId="77777777" w:rsidR="00850550" w:rsidRDefault="00850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6767" w14:textId="77777777" w:rsidR="00BA18EE" w:rsidRDefault="00BA18EE" w:rsidP="005B177E">
      <w:r>
        <w:separator/>
      </w:r>
    </w:p>
  </w:footnote>
  <w:footnote w:type="continuationSeparator" w:id="0">
    <w:p w14:paraId="466172BD" w14:textId="77777777" w:rsidR="00BA18EE" w:rsidRDefault="00BA18EE" w:rsidP="005B177E">
      <w:r>
        <w:continuationSeparator/>
      </w:r>
    </w:p>
  </w:footnote>
  <w:footnote w:id="1">
    <w:p w14:paraId="4D2CAEC6" w14:textId="77777777" w:rsidR="00C377DE" w:rsidRPr="006E0806" w:rsidRDefault="00C377DE" w:rsidP="00C377DE">
      <w:pPr>
        <w:pStyle w:val="Tekstprzypisudolnego"/>
      </w:pPr>
      <w:r>
        <w:rPr>
          <w:rStyle w:val="Odwoanieprzypisudolnego"/>
        </w:rPr>
        <w:footnoteRef/>
      </w:r>
      <w:r>
        <w:t xml:space="preserve"> </w:t>
      </w:r>
      <w:r w:rsidRPr="006E0806">
        <w:t xml:space="preserve">a) Rozwiązania w zakresie regulacji prawnych, administracyjnych itd. </w:t>
      </w:r>
    </w:p>
    <w:p w14:paraId="4639B9E5" w14:textId="77777777" w:rsidR="00C377DE" w:rsidRPr="006E0806" w:rsidRDefault="00C377DE" w:rsidP="00C377DE">
      <w:pPr>
        <w:pStyle w:val="Tekstprzypisudolnego"/>
      </w:pPr>
      <w:r w:rsidRPr="006E0806">
        <w:t>b) Rozwiązania w zakresie finansowania i programów funduszowych</w:t>
      </w:r>
    </w:p>
    <w:p w14:paraId="2F9D6979" w14:textId="77777777" w:rsidR="00C377DE" w:rsidRPr="006E0806" w:rsidRDefault="00C377DE" w:rsidP="00C377DE">
      <w:pPr>
        <w:pStyle w:val="Tekstprzypisudolnego"/>
      </w:pPr>
      <w:r w:rsidRPr="006E0806">
        <w:t>c) Dedykowane programy krajowe</w:t>
      </w:r>
    </w:p>
    <w:p w14:paraId="44E41448" w14:textId="0B453719" w:rsidR="00C377DE" w:rsidRPr="006E0806" w:rsidRDefault="00C377DE" w:rsidP="00C377DE">
      <w:pPr>
        <w:pStyle w:val="Tekstprzypisudolnego"/>
      </w:pPr>
      <w:r w:rsidRPr="006E0806">
        <w:t xml:space="preserve">d) </w:t>
      </w:r>
      <w:r w:rsidR="00AB3938">
        <w:t>Wzmacnianie know-how</w:t>
      </w:r>
      <w:r w:rsidR="00AE0F32">
        <w:t xml:space="preserve">: </w:t>
      </w:r>
      <w:r w:rsidRPr="006E0806">
        <w:t>Rekomendacje, zalecenia, standardy, dobre praktyki, wymiana doświadczeń, szkolenia, pilotaże</w:t>
      </w:r>
      <w:r w:rsidR="00AE0F32">
        <w:t>, programy współpracy</w:t>
      </w:r>
      <w:r w:rsidRPr="006E0806">
        <w:t xml:space="preserve"> itd.</w:t>
      </w:r>
    </w:p>
    <w:p w14:paraId="7CEAF960" w14:textId="77777777" w:rsidR="00C377DE" w:rsidRPr="006E0806" w:rsidRDefault="00C377DE" w:rsidP="00C377DE">
      <w:pPr>
        <w:pStyle w:val="Tekstprzypisudolnego"/>
      </w:pPr>
      <w:r w:rsidRPr="006E0806">
        <w:t xml:space="preserve">e) Dostosowywanie działań, inwestycji realizowanych przez inne zależne od rządu podmioty krajowe </w:t>
      </w:r>
    </w:p>
    <w:p w14:paraId="599CEDDF" w14:textId="479C1ABE" w:rsidR="00C377DE" w:rsidRDefault="00C377DE" w:rsidP="00C377DE">
      <w:pPr>
        <w:pStyle w:val="Tekstprzypisudolnego"/>
      </w:pPr>
      <w:r w:rsidRPr="006E0806">
        <w:t>f) Inne</w:t>
      </w:r>
    </w:p>
  </w:footnote>
  <w:footnote w:id="2">
    <w:p w14:paraId="0ED09298" w14:textId="7631D5AF" w:rsidR="00C377DE" w:rsidRDefault="00C377DE">
      <w:pPr>
        <w:pStyle w:val="Tekstprzypisudolnego"/>
      </w:pPr>
      <w:r>
        <w:rPr>
          <w:rStyle w:val="Odwoanieprzypisudolnego"/>
        </w:rPr>
        <w:footnoteRef/>
      </w:r>
      <w:r>
        <w:t xml:space="preserve"> </w:t>
      </w:r>
      <w:r w:rsidR="00B07FEB">
        <w:t>A</w:t>
      </w:r>
      <w:r w:rsidR="00AE0F32">
        <w:t xml:space="preserve"> </w:t>
      </w:r>
      <w:r w:rsidR="00684BDA">
        <w:t>–</w:t>
      </w:r>
      <w:r w:rsidR="00AE0F32">
        <w:t xml:space="preserve"> </w:t>
      </w:r>
      <w:r w:rsidR="00684BDA">
        <w:t xml:space="preserve">Regulacje prawne; B – Mechanizmy finansowania; C </w:t>
      </w:r>
      <w:r w:rsidR="00716B79">
        <w:t>–</w:t>
      </w:r>
      <w:r w:rsidR="00684BDA">
        <w:t xml:space="preserve"> </w:t>
      </w:r>
      <w:r w:rsidR="00716B79">
        <w:t>Wzmacnianie wiedzy i współpracy</w:t>
      </w:r>
    </w:p>
  </w:footnote>
  <w:footnote w:id="3">
    <w:p w14:paraId="62FAB205" w14:textId="77B9B357" w:rsidR="00CA3D2D" w:rsidRDefault="00CA3D2D">
      <w:pPr>
        <w:pStyle w:val="Tekstprzypisudolnego"/>
      </w:pPr>
      <w:r>
        <w:rPr>
          <w:rStyle w:val="Odwoanieprzypisudolnego"/>
        </w:rPr>
        <w:footnoteRef/>
      </w:r>
      <w:r>
        <w:t xml:space="preserve"> </w:t>
      </w:r>
      <w:r w:rsidR="005855F2">
        <w:t>Znaki ze spacjami – podane wartości dotyczą</w:t>
      </w:r>
      <w:r w:rsidR="007252E4">
        <w:t xml:space="preserve"> maksymalnej objętości opisu – orientacyjnie. </w:t>
      </w:r>
    </w:p>
  </w:footnote>
  <w:footnote w:id="4">
    <w:p w14:paraId="2BD6C205" w14:textId="1BF776DC" w:rsidR="00804712" w:rsidRDefault="00804712">
      <w:pPr>
        <w:pStyle w:val="Tekstprzypisudolnego"/>
      </w:pPr>
      <w:r>
        <w:rPr>
          <w:rStyle w:val="Odwoanieprzypisudolnego"/>
        </w:rPr>
        <w:footnoteRef/>
      </w:r>
      <w:r>
        <w:t xml:space="preserve"> Inicjalnie istotę narzędzia, jakim jest umowa urbanistyczna, wprowadzono w ustawie z dnia 9 października 2015 r. o rewitalizacji </w:t>
      </w:r>
      <w:r w:rsidR="000A3C2B">
        <w:t xml:space="preserve">(Dz.U. z 2015 poz. 1777), w przepisach zmieniających ustawę z dnia 27 marca 2003 r. o planowaniu i zagospodarowaniu przestrzennym.  </w:t>
      </w:r>
    </w:p>
  </w:footnote>
  <w:footnote w:id="5">
    <w:p w14:paraId="75DFC69B" w14:textId="6E141A57" w:rsidR="00585D4B" w:rsidRDefault="00585D4B">
      <w:pPr>
        <w:pStyle w:val="Tekstprzypisudolnego"/>
      </w:pPr>
      <w:r>
        <w:rPr>
          <w:rStyle w:val="Odwoanieprzypisudolnego"/>
        </w:rPr>
        <w:footnoteRef/>
      </w:r>
      <w:r>
        <w:t xml:space="preserve"> </w:t>
      </w:r>
      <w:r w:rsidRPr="00585D4B">
        <w:t>Dz.U. z 2021 r. poz. 223</w:t>
      </w:r>
      <w:r>
        <w:t>.</w:t>
      </w:r>
    </w:p>
  </w:footnote>
  <w:footnote w:id="6">
    <w:p w14:paraId="4B2F99D5" w14:textId="5D48AD16" w:rsidR="009124FD" w:rsidRPr="005307A2" w:rsidRDefault="009124FD" w:rsidP="009124FD">
      <w:pPr>
        <w:pStyle w:val="Tekstprzypisudolnego"/>
      </w:pPr>
      <w:r w:rsidRPr="005307A2">
        <w:rPr>
          <w:rStyle w:val="Odwoanieprzypisudolnego"/>
        </w:rPr>
        <w:footnoteRef/>
      </w:r>
      <w:r w:rsidRPr="005307A2">
        <w:t xml:space="preserve"> Umiejscowienie tutaj ustawy o zrównoważonym rozwoju miast ma zasygnalizować i zaproponować regulacje takiej </w:t>
      </w:r>
      <w:r w:rsidR="005307A2" w:rsidRPr="005307A2">
        <w:t>materii,</w:t>
      </w:r>
      <w:r w:rsidRPr="005307A2">
        <w:t xml:space="preserve"> która do tej pory nie była podjęta legislacyjnie a powinna podlegać takiej regulacji.</w:t>
      </w:r>
    </w:p>
  </w:footnote>
  <w:footnote w:id="7">
    <w:p w14:paraId="16C08A06" w14:textId="3D536B93" w:rsidR="006F5348" w:rsidRPr="00CC3345" w:rsidRDefault="006F5348" w:rsidP="000D4AE0">
      <w:pPr>
        <w:spacing w:after="0" w:line="240" w:lineRule="auto"/>
        <w:rPr>
          <w:rFonts w:ascii="Times New Roman" w:hAnsi="Times New Roman"/>
          <w:sz w:val="18"/>
          <w:szCs w:val="18"/>
        </w:rPr>
      </w:pPr>
      <w:r w:rsidRPr="005307A2">
        <w:rPr>
          <w:rStyle w:val="Odwoanieprzypisudolnego"/>
          <w:sz w:val="20"/>
          <w:szCs w:val="20"/>
        </w:rPr>
        <w:footnoteRef/>
      </w:r>
      <w:r w:rsidRPr="005307A2">
        <w:rPr>
          <w:sz w:val="20"/>
          <w:szCs w:val="20"/>
        </w:rPr>
        <w:t xml:space="preserve"> Kompleksowy ramowy plan zagospodarowania przestrzennego dla danej gminy, który zawiera informacje na temat planów rozwoju. Plan ten ma częściowe skutki prawne, o tyle o ile jest wiążący przy przygotowywaniu planów miejscowych, </w:t>
      </w:r>
      <w:hyperlink r:id="rId1" w:history="1">
        <w:r w:rsidRPr="005307A2">
          <w:rPr>
            <w:rStyle w:val="Hipercze"/>
            <w:rFonts w:eastAsiaTheme="majorEastAsia"/>
            <w:sz w:val="20"/>
            <w:szCs w:val="20"/>
          </w:rPr>
          <w:t>https://kp15.kk.dk/</w:t>
        </w:r>
      </w:hyperlink>
      <w:r w:rsidRPr="005307A2">
        <w:rPr>
          <w:sz w:val="20"/>
          <w:szCs w:val="20"/>
        </w:rPr>
        <w:t>, dostęp 10.2019.</w:t>
      </w:r>
    </w:p>
  </w:footnote>
  <w:footnote w:id="8">
    <w:p w14:paraId="55803BD2" w14:textId="541DE24D" w:rsidR="006F5348" w:rsidRPr="006F5348" w:rsidRDefault="006F5348">
      <w:pPr>
        <w:pStyle w:val="Tekstprzypisudolnego"/>
      </w:pPr>
    </w:p>
  </w:footnote>
  <w:footnote w:id="9">
    <w:p w14:paraId="310FD531" w14:textId="67079066" w:rsidR="0075422E" w:rsidRPr="00523595" w:rsidRDefault="0075422E" w:rsidP="005307A2">
      <w:pPr>
        <w:pStyle w:val="Tekstprzypisudolnego"/>
        <w:jc w:val="left"/>
        <w:rPr>
          <w:rFonts w:cstheme="minorHAnsi"/>
        </w:rPr>
      </w:pPr>
      <w:r w:rsidRPr="005307A2">
        <w:rPr>
          <w:rStyle w:val="Odwoanieprzypisudolnego"/>
          <w:rFonts w:cstheme="minorHAnsi"/>
        </w:rPr>
        <w:footnoteRef/>
      </w:r>
      <w:r w:rsidRPr="005307A2">
        <w:rPr>
          <w:rFonts w:cstheme="minorHAnsi"/>
          <w:lang w:val="en-US"/>
        </w:rPr>
        <w:t xml:space="preserve"> </w:t>
      </w:r>
      <w:r w:rsidRPr="005307A2">
        <w:rPr>
          <w:rFonts w:cstheme="minorHAnsi"/>
          <w:color w:val="000000"/>
          <w:u w:color="0000E9"/>
          <w:lang w:val="en-US"/>
        </w:rPr>
        <w:t xml:space="preserve">Berliner Modell der </w:t>
      </w:r>
      <w:proofErr w:type="spellStart"/>
      <w:r w:rsidRPr="005307A2">
        <w:rPr>
          <w:rFonts w:cstheme="minorHAnsi"/>
          <w:color w:val="000000"/>
          <w:u w:color="0000E9"/>
          <w:lang w:val="en-US"/>
        </w:rPr>
        <w:t>Kooperativen</w:t>
      </w:r>
      <w:proofErr w:type="spellEnd"/>
      <w:r w:rsidRPr="005307A2">
        <w:rPr>
          <w:rFonts w:cstheme="minorHAnsi"/>
          <w:color w:val="000000"/>
          <w:u w:color="0000E9"/>
          <w:lang w:val="en-US"/>
        </w:rPr>
        <w:t xml:space="preserve"> </w:t>
      </w:r>
      <w:proofErr w:type="spellStart"/>
      <w:r w:rsidRPr="005307A2">
        <w:rPr>
          <w:rFonts w:cstheme="minorHAnsi"/>
          <w:color w:val="000000"/>
          <w:u w:color="0000E9"/>
          <w:lang w:val="en-US"/>
        </w:rPr>
        <w:t>Baulandentwicklung</w:t>
      </w:r>
      <w:proofErr w:type="spellEnd"/>
      <w:r w:rsidRPr="005307A2">
        <w:rPr>
          <w:rFonts w:cstheme="minorHAnsi"/>
          <w:color w:val="000000"/>
          <w:u w:color="0000E9"/>
          <w:lang w:val="en-US"/>
        </w:rPr>
        <w:t xml:space="preserve">, Berlin, </w:t>
      </w:r>
      <w:proofErr w:type="spellStart"/>
      <w:r w:rsidRPr="005307A2">
        <w:rPr>
          <w:rFonts w:cstheme="minorHAnsi"/>
          <w:color w:val="000000"/>
          <w:u w:color="0000E9"/>
          <w:lang w:val="en-US"/>
        </w:rPr>
        <w:t>Grudzień</w:t>
      </w:r>
      <w:proofErr w:type="spellEnd"/>
      <w:r w:rsidRPr="005307A2">
        <w:rPr>
          <w:rFonts w:cstheme="minorHAnsi"/>
          <w:color w:val="000000"/>
          <w:u w:color="0000E9"/>
          <w:lang w:val="en-US"/>
        </w:rPr>
        <w:t xml:space="preserve"> 2018</w:t>
      </w:r>
      <w:r w:rsidRPr="005307A2">
        <w:rPr>
          <w:rFonts w:cstheme="minorHAnsi"/>
          <w:u w:color="0000E9"/>
          <w:lang w:val="en-US"/>
        </w:rPr>
        <w:t xml:space="preserve">, </w:t>
      </w:r>
      <w:r w:rsidR="00872003" w:rsidRPr="00872003">
        <w:rPr>
          <w:rFonts w:cstheme="minorHAnsi"/>
          <w:lang w:val="en-US"/>
        </w:rPr>
        <w:t>https://www.stadtentwicklung.berlin.de/wohnen/wohnungsbau/download/vertraege/modell_baulandentwicklung.pdf</w:t>
      </w:r>
      <w:r w:rsidRPr="005307A2">
        <w:rPr>
          <w:rFonts w:cstheme="minorHAnsi"/>
          <w:u w:color="0000E9"/>
          <w:lang w:val="en-US"/>
        </w:rPr>
        <w:t xml:space="preserve"> , </w:t>
      </w:r>
      <w:proofErr w:type="spellStart"/>
      <w:r w:rsidRPr="005307A2">
        <w:rPr>
          <w:rFonts w:cstheme="minorHAnsi"/>
          <w:u w:color="0000E9"/>
          <w:lang w:val="en-US"/>
        </w:rPr>
        <w:t>dostęp</w:t>
      </w:r>
      <w:proofErr w:type="spellEnd"/>
      <w:r w:rsidRPr="005307A2">
        <w:rPr>
          <w:rFonts w:cstheme="minorHAnsi"/>
          <w:u w:color="0000E9"/>
          <w:lang w:val="en-US"/>
        </w:rPr>
        <w:t xml:space="preserve"> </w:t>
      </w:r>
      <w:r w:rsidR="00C555EF">
        <w:rPr>
          <w:rFonts w:cstheme="minorHAnsi"/>
          <w:u w:color="0000E9"/>
          <w:lang w:val="en-US"/>
        </w:rPr>
        <w:t xml:space="preserve">04. </w:t>
      </w:r>
      <w:r w:rsidR="00C555EF" w:rsidRPr="00523595">
        <w:rPr>
          <w:rFonts w:cstheme="minorHAnsi"/>
          <w:u w:color="0000E9"/>
        </w:rPr>
        <w:t>2021</w:t>
      </w:r>
    </w:p>
  </w:footnote>
  <w:footnote w:id="10">
    <w:p w14:paraId="477290B1" w14:textId="60C2B29F" w:rsidR="0075422E" w:rsidRPr="00523595" w:rsidRDefault="0075422E" w:rsidP="005307A2">
      <w:pPr>
        <w:pStyle w:val="Tekstprzypisudolnego"/>
        <w:jc w:val="left"/>
        <w:rPr>
          <w:rFonts w:cstheme="minorHAnsi"/>
        </w:rPr>
      </w:pPr>
      <w:r w:rsidRPr="005307A2">
        <w:rPr>
          <w:rStyle w:val="Odwoanieprzypisudolnego"/>
          <w:rFonts w:cstheme="minorHAnsi"/>
        </w:rPr>
        <w:footnoteRef/>
      </w:r>
      <w:r w:rsidRPr="00523595">
        <w:rPr>
          <w:rFonts w:cstheme="minorHAnsi"/>
        </w:rPr>
        <w:t xml:space="preserve"> </w:t>
      </w:r>
      <w:proofErr w:type="spellStart"/>
      <w:r w:rsidR="005307A2" w:rsidRPr="00523595">
        <w:rPr>
          <w:rFonts w:cstheme="minorHAnsi"/>
          <w:i/>
          <w:iCs/>
        </w:rPr>
        <w:t>Stadtentwicklungsplan</w:t>
      </w:r>
      <w:proofErr w:type="spellEnd"/>
      <w:r w:rsidR="005307A2" w:rsidRPr="00523595">
        <w:rPr>
          <w:rFonts w:cstheme="minorHAnsi"/>
        </w:rPr>
        <w:t xml:space="preserve"> (</w:t>
      </w:r>
      <w:proofErr w:type="spellStart"/>
      <w:r w:rsidR="005307A2" w:rsidRPr="00523595">
        <w:rPr>
          <w:rFonts w:cstheme="minorHAnsi"/>
        </w:rPr>
        <w:t>StEP</w:t>
      </w:r>
      <w:proofErr w:type="spellEnd"/>
      <w:r w:rsidR="005307A2" w:rsidRPr="00523595">
        <w:rPr>
          <w:rFonts w:cstheme="minorHAnsi"/>
        </w:rPr>
        <w:t>)</w:t>
      </w:r>
      <w:r w:rsidRPr="00523595">
        <w:rPr>
          <w:rFonts w:cstheme="minorHAnsi"/>
          <w:color w:val="000000"/>
        </w:rPr>
        <w:t>, str. 74.</w:t>
      </w:r>
    </w:p>
  </w:footnote>
  <w:footnote w:id="11">
    <w:p w14:paraId="5B13F46E" w14:textId="77777777" w:rsidR="00E53786" w:rsidRPr="00523595" w:rsidRDefault="00E53786" w:rsidP="005307A2">
      <w:pPr>
        <w:pStyle w:val="Tekstprzypisudolnego"/>
        <w:jc w:val="left"/>
        <w:rPr>
          <w:rFonts w:cstheme="minorHAnsi"/>
        </w:rPr>
      </w:pPr>
      <w:r w:rsidRPr="005307A2">
        <w:rPr>
          <w:rStyle w:val="Odwoanieprzypisudolnego"/>
          <w:rFonts w:cstheme="minorHAnsi"/>
        </w:rPr>
        <w:footnoteRef/>
      </w:r>
      <w:r w:rsidRPr="00523595">
        <w:rPr>
          <w:rFonts w:cstheme="minorHAnsi"/>
        </w:rPr>
        <w:t xml:space="preserve"> </w:t>
      </w:r>
      <w:proofErr w:type="spellStart"/>
      <w:r w:rsidRPr="00523595">
        <w:rPr>
          <w:rFonts w:cstheme="minorHAnsi"/>
          <w:color w:val="000000"/>
        </w:rPr>
        <w:t>StEP</w:t>
      </w:r>
      <w:proofErr w:type="spellEnd"/>
      <w:r w:rsidRPr="00523595">
        <w:rPr>
          <w:rFonts w:cstheme="minorHAnsi"/>
          <w:color w:val="000000"/>
        </w:rPr>
        <w:t>, s. 38.</w:t>
      </w:r>
    </w:p>
  </w:footnote>
  <w:footnote w:id="12">
    <w:p w14:paraId="16B31F83" w14:textId="3BD73ABE" w:rsidR="005307A2" w:rsidRPr="005307A2" w:rsidRDefault="005307A2" w:rsidP="005307A2">
      <w:pPr>
        <w:pStyle w:val="Tekstprzypisudolnego"/>
        <w:jc w:val="left"/>
        <w:rPr>
          <w:rFonts w:cstheme="minorHAnsi"/>
        </w:rPr>
      </w:pPr>
      <w:r w:rsidRPr="005307A2">
        <w:rPr>
          <w:rStyle w:val="Odwoanieprzypisudolnego"/>
          <w:rFonts w:cstheme="minorHAnsi"/>
        </w:rPr>
        <w:footnoteRef/>
      </w:r>
      <w:r w:rsidRPr="005307A2">
        <w:rPr>
          <w:rFonts w:cstheme="minorHAnsi"/>
        </w:rPr>
        <w:t xml:space="preserve"> Giecewicz j.: Miejska polityka mieszkaniowa – tereny dostępne warunkiem realizacji programów mieszkań dostępnych – nowelizacja ustawowa w Wiedniu, [w:] HOUSING ENVIRONMENT 30/2020 ARCHITEKTURA XXI WIEKU / THE ARCHITECTURE OF THE 21st CENTURY, DOI: 10.4467/25438700SM.20.005.12208</w:t>
      </w:r>
    </w:p>
  </w:footnote>
  <w:footnote w:id="13">
    <w:p w14:paraId="532C5FDD" w14:textId="433279DF" w:rsidR="000D4AE0" w:rsidRPr="000D4AE0" w:rsidRDefault="000D4AE0" w:rsidP="000D4AE0">
      <w:pPr>
        <w:pStyle w:val="Tekstprzypisudolnego"/>
        <w:rPr>
          <w:rFonts w:cstheme="minorHAnsi"/>
          <w:color w:val="000000" w:themeColor="text1"/>
        </w:rPr>
      </w:pPr>
      <w:r w:rsidRPr="000D4AE0">
        <w:rPr>
          <w:rStyle w:val="Odwoanieprzypisudolnego"/>
          <w:rFonts w:cstheme="minorHAnsi"/>
          <w:color w:val="000000" w:themeColor="text1"/>
        </w:rPr>
        <w:footnoteRef/>
      </w:r>
      <w:r w:rsidRPr="000D4AE0">
        <w:rPr>
          <w:rFonts w:cstheme="minorHAnsi"/>
          <w:color w:val="000000" w:themeColor="text1"/>
        </w:rPr>
        <w:t xml:space="preserve"> </w:t>
      </w:r>
      <w:r w:rsidRPr="000D4AE0">
        <w:rPr>
          <w:rFonts w:cstheme="minorHAnsi"/>
          <w:i/>
          <w:iCs/>
          <w:color w:val="000000" w:themeColor="text1"/>
        </w:rPr>
        <w:t xml:space="preserve">Le </w:t>
      </w:r>
      <w:proofErr w:type="spellStart"/>
      <w:r w:rsidRPr="000D4AE0">
        <w:rPr>
          <w:rFonts w:cstheme="minorHAnsi"/>
          <w:i/>
          <w:iCs/>
          <w:color w:val="000000" w:themeColor="text1"/>
        </w:rPr>
        <w:t>Schéma</w:t>
      </w:r>
      <w:proofErr w:type="spellEnd"/>
      <w:r w:rsidRPr="000D4AE0">
        <w:rPr>
          <w:rFonts w:cstheme="minorHAnsi"/>
          <w:i/>
          <w:iCs/>
          <w:color w:val="000000" w:themeColor="text1"/>
        </w:rPr>
        <w:t xml:space="preserve"> de </w:t>
      </w:r>
      <w:proofErr w:type="spellStart"/>
      <w:r w:rsidRPr="000D4AE0">
        <w:rPr>
          <w:rFonts w:cstheme="minorHAnsi"/>
          <w:i/>
          <w:iCs/>
          <w:color w:val="000000" w:themeColor="text1"/>
        </w:rPr>
        <w:t>Cohérence</w:t>
      </w:r>
      <w:proofErr w:type="spellEnd"/>
      <w:r w:rsidRPr="000D4AE0">
        <w:rPr>
          <w:rFonts w:cstheme="minorHAnsi"/>
          <w:i/>
          <w:iCs/>
          <w:color w:val="000000" w:themeColor="text1"/>
        </w:rPr>
        <w:t xml:space="preserve"> </w:t>
      </w:r>
      <w:proofErr w:type="spellStart"/>
      <w:r w:rsidRPr="000D4AE0">
        <w:rPr>
          <w:rFonts w:cstheme="minorHAnsi"/>
          <w:i/>
          <w:iCs/>
          <w:color w:val="000000" w:themeColor="text1"/>
        </w:rPr>
        <w:t>Territoriale</w:t>
      </w:r>
      <w:proofErr w:type="spellEnd"/>
      <w:r w:rsidRPr="000D4AE0">
        <w:rPr>
          <w:rFonts w:cstheme="minorHAnsi"/>
          <w:i/>
          <w:iCs/>
          <w:color w:val="000000" w:themeColor="text1"/>
        </w:rPr>
        <w:t xml:space="preserve"> (</w:t>
      </w:r>
      <w:proofErr w:type="spellStart"/>
      <w:r w:rsidRPr="000D4AE0">
        <w:rPr>
          <w:rFonts w:cstheme="minorHAnsi"/>
          <w:i/>
          <w:iCs/>
          <w:color w:val="000000" w:themeColor="text1"/>
        </w:rPr>
        <w:t>SCoT</w:t>
      </w:r>
      <w:proofErr w:type="spellEnd"/>
      <w:r w:rsidRPr="000D4AE0">
        <w:rPr>
          <w:rFonts w:cstheme="minorHAnsi"/>
          <w:i/>
          <w:iCs/>
          <w:color w:val="000000" w:themeColor="text1"/>
        </w:rPr>
        <w:t>)</w:t>
      </w:r>
      <w:r w:rsidRPr="000D4AE0">
        <w:rPr>
          <w:rFonts w:cstheme="minorHAnsi"/>
          <w:color w:val="000000" w:themeColor="text1"/>
        </w:rPr>
        <w:t xml:space="preserve"> jest dokumentem planowania strategicznego dla dużych terytoriów – najbardziej zbliżonym do studium uwarunkowań i kierunków zagospodarowania przestrzennego gminy</w:t>
      </w:r>
      <w:r>
        <w:rPr>
          <w:rFonts w:cstheme="minorHAnsi"/>
          <w:color w:val="000000" w:themeColor="text1"/>
        </w:rPr>
        <w:t xml:space="preserve"> </w:t>
      </w:r>
      <w:proofErr w:type="spellStart"/>
      <w:r w:rsidRPr="000D4AE0">
        <w:rPr>
          <w:rFonts w:cstheme="minorHAnsi"/>
          <w:color w:val="000000" w:themeColor="text1"/>
        </w:rPr>
        <w:t>SCoT</w:t>
      </w:r>
      <w:proofErr w:type="spellEnd"/>
      <w:r w:rsidRPr="000D4AE0">
        <w:rPr>
          <w:rFonts w:cstheme="minorHAnsi"/>
          <w:color w:val="000000" w:themeColor="text1"/>
        </w:rPr>
        <w:t xml:space="preserve">, </w:t>
      </w:r>
      <w:r>
        <w:rPr>
          <w:rFonts w:cstheme="majorHAnsi"/>
        </w:rPr>
        <w:t>(</w:t>
      </w:r>
      <w:r w:rsidRPr="008514D5">
        <w:rPr>
          <w:rFonts w:cstheme="majorHAnsi"/>
          <w:i/>
          <w:iCs/>
        </w:rPr>
        <w:t xml:space="preserve">Plan </w:t>
      </w:r>
      <w:proofErr w:type="spellStart"/>
      <w:r w:rsidRPr="008514D5">
        <w:rPr>
          <w:rFonts w:cstheme="majorHAnsi"/>
          <w:i/>
          <w:iCs/>
        </w:rPr>
        <w:t>métropolitain</w:t>
      </w:r>
      <w:proofErr w:type="spellEnd"/>
      <w:r w:rsidRPr="008514D5">
        <w:rPr>
          <w:rFonts w:cstheme="majorHAnsi"/>
          <w:i/>
          <w:iCs/>
        </w:rPr>
        <w:t xml:space="preserve"> de </w:t>
      </w:r>
      <w:proofErr w:type="spellStart"/>
      <w:r w:rsidRPr="008514D5">
        <w:rPr>
          <w:rFonts w:cstheme="majorHAnsi"/>
          <w:i/>
          <w:iCs/>
        </w:rPr>
        <w:t>l’habitat</w:t>
      </w:r>
      <w:proofErr w:type="spellEnd"/>
      <w:r w:rsidRPr="008514D5">
        <w:rPr>
          <w:rFonts w:cstheme="majorHAnsi"/>
          <w:i/>
          <w:iCs/>
        </w:rPr>
        <w:t xml:space="preserve"> et de </w:t>
      </w:r>
      <w:proofErr w:type="spellStart"/>
      <w:r w:rsidRPr="008514D5">
        <w:rPr>
          <w:rFonts w:cstheme="majorHAnsi"/>
          <w:i/>
          <w:iCs/>
        </w:rPr>
        <w:t>l’hébergement</w:t>
      </w:r>
      <w:proofErr w:type="spellEnd"/>
      <w:r w:rsidRPr="008514D5">
        <w:rPr>
          <w:rFonts w:cstheme="majorHAnsi"/>
          <w:i/>
          <w:iCs/>
        </w:rPr>
        <w:t xml:space="preserve"> (PMHH). </w:t>
      </w:r>
      <w:proofErr w:type="spellStart"/>
      <w:r w:rsidRPr="008514D5">
        <w:rPr>
          <w:rFonts w:cstheme="majorHAnsi"/>
          <w:i/>
          <w:iCs/>
        </w:rPr>
        <w:t>Document</w:t>
      </w:r>
      <w:proofErr w:type="spellEnd"/>
      <w:r w:rsidRPr="008514D5">
        <w:rPr>
          <w:rFonts w:cstheme="majorHAnsi"/>
          <w:i/>
          <w:iCs/>
        </w:rPr>
        <w:t xml:space="preserve"> </w:t>
      </w:r>
      <w:proofErr w:type="spellStart"/>
      <w:r w:rsidRPr="008514D5">
        <w:rPr>
          <w:rFonts w:cstheme="majorHAnsi"/>
          <w:i/>
          <w:iCs/>
        </w:rPr>
        <w:t>D’Orientations</w:t>
      </w:r>
      <w:proofErr w:type="spellEnd"/>
      <w:r>
        <w:rPr>
          <w:rFonts w:cstheme="majorHAnsi"/>
        </w:rPr>
        <w:t>)</w:t>
      </w:r>
      <w:r w:rsidRPr="000D4AE0">
        <w:rPr>
          <w:rFonts w:cstheme="minorHAnsi"/>
          <w:color w:val="000000" w:themeColor="text1"/>
        </w:rPr>
        <w:t>, str. 13</w:t>
      </w:r>
    </w:p>
  </w:footnote>
  <w:footnote w:id="14">
    <w:p w14:paraId="6866914D" w14:textId="0377AD3B" w:rsidR="000D4AE0" w:rsidRPr="00C555EF" w:rsidRDefault="000D4AE0" w:rsidP="000D4AE0">
      <w:pPr>
        <w:rPr>
          <w:rFonts w:cstheme="minorHAnsi"/>
          <w:sz w:val="20"/>
          <w:szCs w:val="20"/>
        </w:rPr>
      </w:pPr>
      <w:r w:rsidRPr="00C555EF">
        <w:rPr>
          <w:rStyle w:val="Odwoanieprzypisudolnego"/>
          <w:rFonts w:cstheme="minorHAnsi"/>
          <w:color w:val="000000" w:themeColor="text1"/>
          <w:sz w:val="20"/>
          <w:szCs w:val="20"/>
        </w:rPr>
        <w:footnoteRef/>
      </w:r>
      <w:r w:rsidRPr="00C555EF">
        <w:rPr>
          <w:rFonts w:cstheme="minorHAnsi"/>
          <w:color w:val="000000" w:themeColor="text1"/>
          <w:sz w:val="20"/>
          <w:szCs w:val="20"/>
        </w:rPr>
        <w:t xml:space="preserve"> </w:t>
      </w:r>
      <w:r w:rsidRPr="00C555EF">
        <w:rPr>
          <w:rFonts w:cstheme="minorHAnsi"/>
          <w:color w:val="000000"/>
          <w:sz w:val="20"/>
          <w:szCs w:val="20"/>
        </w:rPr>
        <w:t xml:space="preserve">Plan </w:t>
      </w:r>
      <w:proofErr w:type="spellStart"/>
      <w:r w:rsidRPr="00C555EF">
        <w:rPr>
          <w:rFonts w:cstheme="minorHAnsi"/>
          <w:i/>
          <w:iCs/>
          <w:color w:val="000000"/>
          <w:sz w:val="20"/>
          <w:szCs w:val="20"/>
        </w:rPr>
        <w:t>Local</w:t>
      </w:r>
      <w:proofErr w:type="spellEnd"/>
      <w:r w:rsidRPr="00C555EF">
        <w:rPr>
          <w:rFonts w:cstheme="minorHAnsi"/>
          <w:i/>
          <w:iCs/>
          <w:color w:val="000000"/>
          <w:sz w:val="20"/>
          <w:szCs w:val="20"/>
        </w:rPr>
        <w:t xml:space="preserve"> </w:t>
      </w:r>
      <w:proofErr w:type="spellStart"/>
      <w:r w:rsidRPr="00C555EF">
        <w:rPr>
          <w:rFonts w:cstheme="minorHAnsi"/>
          <w:i/>
          <w:iCs/>
          <w:color w:val="000000"/>
          <w:sz w:val="20"/>
          <w:szCs w:val="20"/>
        </w:rPr>
        <w:t>d'Urbanisme</w:t>
      </w:r>
      <w:proofErr w:type="spellEnd"/>
      <w:r w:rsidRPr="00C555EF">
        <w:rPr>
          <w:rFonts w:cstheme="minorHAnsi"/>
          <w:color w:val="000000" w:themeColor="text1"/>
          <w:sz w:val="20"/>
          <w:szCs w:val="20"/>
        </w:rPr>
        <w:t xml:space="preserve"> PLU (odpowiednik planu miejscowego),</w:t>
      </w:r>
      <w:r w:rsidR="00C555EF">
        <w:rPr>
          <w:rFonts w:cstheme="minorHAnsi"/>
          <w:color w:val="000000" w:themeColor="text1"/>
          <w:sz w:val="20"/>
          <w:szCs w:val="20"/>
        </w:rPr>
        <w:t xml:space="preserve"> </w:t>
      </w:r>
      <w:r w:rsidRPr="00C555EF">
        <w:rPr>
          <w:rFonts w:cstheme="minorHAnsi"/>
          <w:color w:val="000000" w:themeColor="text1"/>
          <w:sz w:val="20"/>
          <w:szCs w:val="20"/>
        </w:rPr>
        <w:t>str. 47.</w:t>
      </w:r>
    </w:p>
  </w:footnote>
  <w:footnote w:id="15">
    <w:p w14:paraId="7AC58B47" w14:textId="77777777" w:rsidR="004F223E" w:rsidRPr="005307A2" w:rsidRDefault="004F223E" w:rsidP="005307A2">
      <w:pPr>
        <w:spacing w:after="0"/>
        <w:contextualSpacing/>
        <w:jc w:val="left"/>
        <w:rPr>
          <w:rFonts w:cstheme="minorHAnsi"/>
          <w:sz w:val="20"/>
          <w:szCs w:val="20"/>
          <w:lang w:val="en-US"/>
        </w:rPr>
      </w:pPr>
      <w:r w:rsidRPr="005307A2">
        <w:rPr>
          <w:rStyle w:val="FootnoteCharacters"/>
          <w:rFonts w:cstheme="minorHAnsi"/>
          <w:sz w:val="20"/>
          <w:szCs w:val="20"/>
        </w:rPr>
        <w:footnoteRef/>
      </w:r>
      <w:r w:rsidRPr="005307A2">
        <w:rPr>
          <w:rFonts w:cstheme="minorHAnsi"/>
          <w:sz w:val="20"/>
          <w:szCs w:val="20"/>
          <w:lang w:val="en-US"/>
        </w:rPr>
        <w:t xml:space="preserve"> C. </w:t>
      </w:r>
      <w:proofErr w:type="spellStart"/>
      <w:r w:rsidRPr="005307A2">
        <w:rPr>
          <w:rFonts w:cstheme="minorHAnsi"/>
          <w:sz w:val="20"/>
          <w:szCs w:val="20"/>
          <w:lang w:val="en-US"/>
        </w:rPr>
        <w:t>Mialot</w:t>
      </w:r>
      <w:proofErr w:type="spellEnd"/>
      <w:r w:rsidRPr="005307A2">
        <w:rPr>
          <w:rFonts w:cstheme="minorHAnsi"/>
          <w:sz w:val="20"/>
          <w:szCs w:val="20"/>
          <w:lang w:val="en-US"/>
        </w:rPr>
        <w:t xml:space="preserve">, J. Ponce, </w:t>
      </w:r>
      <w:r w:rsidRPr="005307A2">
        <w:rPr>
          <w:rFonts w:cstheme="minorHAnsi"/>
          <w:i/>
          <w:sz w:val="20"/>
          <w:szCs w:val="20"/>
          <w:lang w:val="en-US"/>
        </w:rPr>
        <w:t>Ten Years of the French DALO and the Catalan Right to Housing Act. European Innovation in the Fields of Land Use Planning and Housing</w:t>
      </w:r>
      <w:r w:rsidRPr="005307A2">
        <w:rPr>
          <w:rFonts w:cstheme="minorHAnsi"/>
          <w:sz w:val="20"/>
          <w:szCs w:val="20"/>
          <w:lang w:val="en-US"/>
        </w:rPr>
        <w:t>, „</w:t>
      </w:r>
      <w:r w:rsidRPr="005307A2">
        <w:rPr>
          <w:rStyle w:val="InternetLink"/>
          <w:rFonts w:cstheme="minorHAnsi"/>
          <w:bCs/>
          <w:color w:val="000000" w:themeColor="text1"/>
          <w:sz w:val="20"/>
          <w:szCs w:val="20"/>
          <w:lang w:val="en-US"/>
        </w:rPr>
        <w:t>Journal of Comparative Urban Law and Policy”</w:t>
      </w:r>
      <w:r w:rsidRPr="005307A2">
        <w:rPr>
          <w:rFonts w:cstheme="minorHAnsi"/>
          <w:bCs/>
          <w:color w:val="000000" w:themeColor="text1"/>
          <w:sz w:val="20"/>
          <w:szCs w:val="20"/>
          <w:lang w:val="en-US"/>
        </w:rPr>
        <w:t xml:space="preserve"> 2017, t. </w:t>
      </w:r>
      <w:r w:rsidRPr="005307A2">
        <w:rPr>
          <w:rFonts w:cstheme="minorHAnsi"/>
          <w:color w:val="000000" w:themeColor="text1"/>
          <w:sz w:val="20"/>
          <w:szCs w:val="20"/>
          <w:lang w:val="en-US"/>
        </w:rPr>
        <w:t>2, nr 1, s.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F62" w14:textId="4CDED733" w:rsidR="00AF1E15" w:rsidRPr="00B036C4" w:rsidRDefault="00D33BFB" w:rsidP="005B177E">
    <w:pPr>
      <w:rPr>
        <w:b/>
        <w:bCs/>
      </w:rPr>
    </w:pPr>
    <w:r w:rsidRPr="00B036C4">
      <w:rPr>
        <w:b/>
        <w:bCs/>
        <w:noProof/>
        <w:sz w:val="28"/>
        <w:szCs w:val="28"/>
        <w:lang w:eastAsia="pl-PL"/>
      </w:rPr>
      <w:drawing>
        <wp:anchor distT="0" distB="0" distL="114300" distR="114300" simplePos="0" relativeHeight="251658240" behindDoc="0" locked="0" layoutInCell="1" allowOverlap="1" wp14:anchorId="6FBC68F1" wp14:editId="15546732">
          <wp:simplePos x="0" y="0"/>
          <wp:positionH relativeFrom="margin">
            <wp:posOffset>3032760</wp:posOffset>
          </wp:positionH>
          <wp:positionV relativeFrom="margin">
            <wp:posOffset>-598170</wp:posOffset>
          </wp:positionV>
          <wp:extent cx="1581150" cy="471805"/>
          <wp:effectExtent l="0" t="0" r="0" b="4445"/>
          <wp:wrapSquare wrapText="bothSides"/>
          <wp:docPr id="1" name="Obraz 1"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res-logo.png"/>
                  <pic:cNvPicPr/>
                </pic:nvPicPr>
                <pic:blipFill>
                  <a:blip r:embed="rId1">
                    <a:extLst>
                      <a:ext uri="{28A0092B-C50C-407E-A947-70E740481C1C}">
                        <a14:useLocalDpi xmlns:a14="http://schemas.microsoft.com/office/drawing/2010/main" val="0"/>
                      </a:ext>
                    </a:extLst>
                  </a:blip>
                  <a:stretch>
                    <a:fillRect/>
                  </a:stretch>
                </pic:blipFill>
                <pic:spPr>
                  <a:xfrm>
                    <a:off x="0" y="0"/>
                    <a:ext cx="1581150" cy="471805"/>
                  </a:xfrm>
                  <a:prstGeom prst="rect">
                    <a:avLst/>
                  </a:prstGeom>
                </pic:spPr>
              </pic:pic>
            </a:graphicData>
          </a:graphic>
        </wp:anchor>
      </w:drawing>
    </w:r>
    <w:r w:rsidR="00B036C4" w:rsidRPr="00B036C4">
      <w:rPr>
        <w:b/>
        <w:bCs/>
        <w:noProof/>
        <w:sz w:val="28"/>
        <w:szCs w:val="28"/>
        <w:lang w:eastAsia="pl-PL"/>
      </w:rPr>
      <w:drawing>
        <wp:anchor distT="0" distB="0" distL="114300" distR="114300" simplePos="0" relativeHeight="251660288" behindDoc="0" locked="0" layoutInCell="1" allowOverlap="1" wp14:anchorId="03DEAEE6" wp14:editId="62079E83">
          <wp:simplePos x="0" y="0"/>
          <wp:positionH relativeFrom="column">
            <wp:posOffset>4662805</wp:posOffset>
          </wp:positionH>
          <wp:positionV relativeFrom="paragraph">
            <wp:posOffset>-421005</wp:posOffset>
          </wp:positionV>
          <wp:extent cx="1543050" cy="79074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extLst>
                      <a:ext uri="{28A0092B-C50C-407E-A947-70E740481C1C}">
                        <a14:useLocalDpi xmlns:a14="http://schemas.microsoft.com/office/drawing/2010/main" val="0"/>
                      </a:ext>
                    </a:extLst>
                  </a:blip>
                  <a:stretch>
                    <a:fillRect/>
                  </a:stretch>
                </pic:blipFill>
                <pic:spPr>
                  <a:xfrm>
                    <a:off x="0" y="0"/>
                    <a:ext cx="1543050" cy="790745"/>
                  </a:xfrm>
                  <a:prstGeom prst="rect">
                    <a:avLst/>
                  </a:prstGeom>
                </pic:spPr>
              </pic:pic>
            </a:graphicData>
          </a:graphic>
          <wp14:sizeRelH relativeFrom="margin">
            <wp14:pctWidth>0</wp14:pctWidth>
          </wp14:sizeRelH>
          <wp14:sizeRelV relativeFrom="margin">
            <wp14:pctHeight>0</wp14:pctHeight>
          </wp14:sizeRelV>
        </wp:anchor>
      </w:drawing>
    </w:r>
    <w:r w:rsidR="009425A5" w:rsidRPr="00B036C4">
      <w:rPr>
        <w:b/>
        <w:bCs/>
        <w:sz w:val="28"/>
        <w:szCs w:val="28"/>
      </w:rPr>
      <w:t>KRAJOWA POLITYKA MIEJSKA 2030</w:t>
    </w:r>
    <w:r w:rsidR="00592A86" w:rsidRPr="00B036C4">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52B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C81C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E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C46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A4F6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27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D6F2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FE6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0B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76342"/>
    <w:multiLevelType w:val="hybridMultilevel"/>
    <w:tmpl w:val="33406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AF15C7"/>
    <w:multiLevelType w:val="hybridMultilevel"/>
    <w:tmpl w:val="2E2CA6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55C3E"/>
    <w:multiLevelType w:val="hybridMultilevel"/>
    <w:tmpl w:val="EEA852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1513019"/>
    <w:multiLevelType w:val="hybridMultilevel"/>
    <w:tmpl w:val="D514D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4C05225C"/>
    <w:multiLevelType w:val="hybridMultilevel"/>
    <w:tmpl w:val="4D40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35665E"/>
    <w:multiLevelType w:val="hybridMultilevel"/>
    <w:tmpl w:val="65DC1264"/>
    <w:lvl w:ilvl="0" w:tplc="54965814">
      <w:start w:val="1"/>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3415EC"/>
    <w:multiLevelType w:val="hybridMultilevel"/>
    <w:tmpl w:val="76C4AE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11208E"/>
    <w:multiLevelType w:val="hybridMultilevel"/>
    <w:tmpl w:val="05F84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5132EF"/>
    <w:multiLevelType w:val="hybridMultilevel"/>
    <w:tmpl w:val="4112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3"/>
  </w:num>
  <w:num w:numId="14">
    <w:abstractNumId w:val="17"/>
  </w:num>
  <w:num w:numId="15">
    <w:abstractNumId w:val="19"/>
  </w:num>
  <w:num w:numId="16">
    <w:abstractNumId w:val="14"/>
  </w:num>
  <w:num w:numId="17">
    <w:abstractNumId w:val="22"/>
  </w:num>
  <w:num w:numId="18">
    <w:abstractNumId w:val="20"/>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4"/>
  </w:num>
  <w:num w:numId="23">
    <w:abstractNumId w:val="25"/>
  </w:num>
  <w:num w:numId="24">
    <w:abstractNumId w:val="18"/>
  </w:num>
  <w:num w:numId="25">
    <w:abstractNumId w:val="12"/>
  </w:num>
  <w:num w:numId="26">
    <w:abstractNumId w:val="15"/>
  </w:num>
  <w:num w:numId="27">
    <w:abstractNumId w:val="11"/>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15"/>
    <w:rsid w:val="00000041"/>
    <w:rsid w:val="00013DAD"/>
    <w:rsid w:val="00014252"/>
    <w:rsid w:val="00021A76"/>
    <w:rsid w:val="00023521"/>
    <w:rsid w:val="00030F60"/>
    <w:rsid w:val="000721CA"/>
    <w:rsid w:val="00074D7A"/>
    <w:rsid w:val="000945FE"/>
    <w:rsid w:val="000A3C2B"/>
    <w:rsid w:val="000D420F"/>
    <w:rsid w:val="000D4AE0"/>
    <w:rsid w:val="000D547F"/>
    <w:rsid w:val="000D7675"/>
    <w:rsid w:val="00103659"/>
    <w:rsid w:val="00120ACC"/>
    <w:rsid w:val="00122D9C"/>
    <w:rsid w:val="001530ED"/>
    <w:rsid w:val="00153A61"/>
    <w:rsid w:val="00154D56"/>
    <w:rsid w:val="00157FC0"/>
    <w:rsid w:val="0016068B"/>
    <w:rsid w:val="00176B1E"/>
    <w:rsid w:val="001830ED"/>
    <w:rsid w:val="0018773C"/>
    <w:rsid w:val="0019211A"/>
    <w:rsid w:val="001A74DF"/>
    <w:rsid w:val="001B2BF3"/>
    <w:rsid w:val="001D087C"/>
    <w:rsid w:val="001D456D"/>
    <w:rsid w:val="001E1C94"/>
    <w:rsid w:val="00215AEB"/>
    <w:rsid w:val="00252752"/>
    <w:rsid w:val="0026546A"/>
    <w:rsid w:val="00277A9F"/>
    <w:rsid w:val="00285A78"/>
    <w:rsid w:val="00286A0A"/>
    <w:rsid w:val="002A07C2"/>
    <w:rsid w:val="002B35A2"/>
    <w:rsid w:val="002D0C84"/>
    <w:rsid w:val="002D5AAF"/>
    <w:rsid w:val="002D71FD"/>
    <w:rsid w:val="002E18F7"/>
    <w:rsid w:val="002E6FAA"/>
    <w:rsid w:val="002F3DED"/>
    <w:rsid w:val="002F6309"/>
    <w:rsid w:val="003109A0"/>
    <w:rsid w:val="00314BB5"/>
    <w:rsid w:val="00353F0C"/>
    <w:rsid w:val="00374478"/>
    <w:rsid w:val="00376922"/>
    <w:rsid w:val="00395054"/>
    <w:rsid w:val="003F38E2"/>
    <w:rsid w:val="00402545"/>
    <w:rsid w:val="00404429"/>
    <w:rsid w:val="004253C9"/>
    <w:rsid w:val="004331B6"/>
    <w:rsid w:val="00461845"/>
    <w:rsid w:val="004632BF"/>
    <w:rsid w:val="00471AAC"/>
    <w:rsid w:val="00475177"/>
    <w:rsid w:val="00485014"/>
    <w:rsid w:val="004A16CC"/>
    <w:rsid w:val="004C4527"/>
    <w:rsid w:val="004D7ADE"/>
    <w:rsid w:val="004E43EB"/>
    <w:rsid w:val="004E7FA1"/>
    <w:rsid w:val="004F223E"/>
    <w:rsid w:val="00523595"/>
    <w:rsid w:val="005307A2"/>
    <w:rsid w:val="00534B77"/>
    <w:rsid w:val="00550111"/>
    <w:rsid w:val="00560733"/>
    <w:rsid w:val="0058246C"/>
    <w:rsid w:val="005855F2"/>
    <w:rsid w:val="00585D4B"/>
    <w:rsid w:val="00586DBE"/>
    <w:rsid w:val="0059298A"/>
    <w:rsid w:val="00592A86"/>
    <w:rsid w:val="00594F33"/>
    <w:rsid w:val="0059704F"/>
    <w:rsid w:val="005B177E"/>
    <w:rsid w:val="005D6E8F"/>
    <w:rsid w:val="005F1DA6"/>
    <w:rsid w:val="005F31E1"/>
    <w:rsid w:val="005F6A87"/>
    <w:rsid w:val="006157DD"/>
    <w:rsid w:val="00617D0B"/>
    <w:rsid w:val="00645634"/>
    <w:rsid w:val="0065444A"/>
    <w:rsid w:val="00663778"/>
    <w:rsid w:val="00663BE7"/>
    <w:rsid w:val="00663C03"/>
    <w:rsid w:val="00663CD8"/>
    <w:rsid w:val="006752C5"/>
    <w:rsid w:val="0068384C"/>
    <w:rsid w:val="00684BDA"/>
    <w:rsid w:val="006A1A76"/>
    <w:rsid w:val="006A35FD"/>
    <w:rsid w:val="006A750E"/>
    <w:rsid w:val="006C4B1B"/>
    <w:rsid w:val="006C579C"/>
    <w:rsid w:val="006E0806"/>
    <w:rsid w:val="006F5348"/>
    <w:rsid w:val="00716B79"/>
    <w:rsid w:val="007252E4"/>
    <w:rsid w:val="0074203F"/>
    <w:rsid w:val="00744861"/>
    <w:rsid w:val="00752A84"/>
    <w:rsid w:val="0075422E"/>
    <w:rsid w:val="00774195"/>
    <w:rsid w:val="00775AEC"/>
    <w:rsid w:val="00793266"/>
    <w:rsid w:val="007955A4"/>
    <w:rsid w:val="007A01C6"/>
    <w:rsid w:val="007A3029"/>
    <w:rsid w:val="007B2C08"/>
    <w:rsid w:val="007E163D"/>
    <w:rsid w:val="007E6ECD"/>
    <w:rsid w:val="007F072F"/>
    <w:rsid w:val="007F2B23"/>
    <w:rsid w:val="00804712"/>
    <w:rsid w:val="00825DA6"/>
    <w:rsid w:val="00825E13"/>
    <w:rsid w:val="00845C70"/>
    <w:rsid w:val="00850550"/>
    <w:rsid w:val="0085774C"/>
    <w:rsid w:val="00872003"/>
    <w:rsid w:val="008846A1"/>
    <w:rsid w:val="00893AEE"/>
    <w:rsid w:val="00897B3B"/>
    <w:rsid w:val="008C5124"/>
    <w:rsid w:val="008D0B01"/>
    <w:rsid w:val="009124FD"/>
    <w:rsid w:val="00935617"/>
    <w:rsid w:val="009425A5"/>
    <w:rsid w:val="00942BD2"/>
    <w:rsid w:val="00944C6D"/>
    <w:rsid w:val="00945623"/>
    <w:rsid w:val="0099528F"/>
    <w:rsid w:val="009965B4"/>
    <w:rsid w:val="009A01C2"/>
    <w:rsid w:val="009B4B16"/>
    <w:rsid w:val="009B5D31"/>
    <w:rsid w:val="009B69F9"/>
    <w:rsid w:val="009D0131"/>
    <w:rsid w:val="00A33D92"/>
    <w:rsid w:val="00A36A21"/>
    <w:rsid w:val="00A375F8"/>
    <w:rsid w:val="00A417B6"/>
    <w:rsid w:val="00A64A9C"/>
    <w:rsid w:val="00A652A8"/>
    <w:rsid w:val="00A71FA1"/>
    <w:rsid w:val="00A72DF4"/>
    <w:rsid w:val="00A77407"/>
    <w:rsid w:val="00A7765C"/>
    <w:rsid w:val="00A840BA"/>
    <w:rsid w:val="00A84AA2"/>
    <w:rsid w:val="00A936B0"/>
    <w:rsid w:val="00AB3938"/>
    <w:rsid w:val="00AD0FCA"/>
    <w:rsid w:val="00AE0F32"/>
    <w:rsid w:val="00AF1E15"/>
    <w:rsid w:val="00B036C4"/>
    <w:rsid w:val="00B07DC2"/>
    <w:rsid w:val="00B07FEB"/>
    <w:rsid w:val="00B123AC"/>
    <w:rsid w:val="00B23E89"/>
    <w:rsid w:val="00BA18EE"/>
    <w:rsid w:val="00BA5384"/>
    <w:rsid w:val="00BC5BE5"/>
    <w:rsid w:val="00BC7C98"/>
    <w:rsid w:val="00BD40EE"/>
    <w:rsid w:val="00BD7AD0"/>
    <w:rsid w:val="00BE5886"/>
    <w:rsid w:val="00C22757"/>
    <w:rsid w:val="00C3036A"/>
    <w:rsid w:val="00C35E0C"/>
    <w:rsid w:val="00C377DE"/>
    <w:rsid w:val="00C40B47"/>
    <w:rsid w:val="00C555EF"/>
    <w:rsid w:val="00C71B9E"/>
    <w:rsid w:val="00CA220D"/>
    <w:rsid w:val="00CA288F"/>
    <w:rsid w:val="00CA3D2D"/>
    <w:rsid w:val="00CA5516"/>
    <w:rsid w:val="00CA71A8"/>
    <w:rsid w:val="00CB5D85"/>
    <w:rsid w:val="00CB7909"/>
    <w:rsid w:val="00CD61A3"/>
    <w:rsid w:val="00D17041"/>
    <w:rsid w:val="00D1713F"/>
    <w:rsid w:val="00D33BFB"/>
    <w:rsid w:val="00D377EF"/>
    <w:rsid w:val="00D434B2"/>
    <w:rsid w:val="00D51922"/>
    <w:rsid w:val="00D543AC"/>
    <w:rsid w:val="00D55F58"/>
    <w:rsid w:val="00D61869"/>
    <w:rsid w:val="00D63AC0"/>
    <w:rsid w:val="00D657B9"/>
    <w:rsid w:val="00D72919"/>
    <w:rsid w:val="00D7341B"/>
    <w:rsid w:val="00D865F1"/>
    <w:rsid w:val="00D96024"/>
    <w:rsid w:val="00DA2349"/>
    <w:rsid w:val="00DB5C21"/>
    <w:rsid w:val="00DB7F37"/>
    <w:rsid w:val="00DC7870"/>
    <w:rsid w:val="00DD54BF"/>
    <w:rsid w:val="00DD66F7"/>
    <w:rsid w:val="00DD7E62"/>
    <w:rsid w:val="00DF23D7"/>
    <w:rsid w:val="00DF5142"/>
    <w:rsid w:val="00DF651B"/>
    <w:rsid w:val="00E032CF"/>
    <w:rsid w:val="00E51C2F"/>
    <w:rsid w:val="00E53786"/>
    <w:rsid w:val="00E53C85"/>
    <w:rsid w:val="00E67FD4"/>
    <w:rsid w:val="00E712DD"/>
    <w:rsid w:val="00E77061"/>
    <w:rsid w:val="00E97F97"/>
    <w:rsid w:val="00EB1E98"/>
    <w:rsid w:val="00EB6501"/>
    <w:rsid w:val="00EC3F3C"/>
    <w:rsid w:val="00EE1A5C"/>
    <w:rsid w:val="00EE29AD"/>
    <w:rsid w:val="00EF3B9F"/>
    <w:rsid w:val="00F03641"/>
    <w:rsid w:val="00F05E06"/>
    <w:rsid w:val="00F06D15"/>
    <w:rsid w:val="00F07DC1"/>
    <w:rsid w:val="00F2007F"/>
    <w:rsid w:val="00F25FB3"/>
    <w:rsid w:val="00F323EC"/>
    <w:rsid w:val="00F41F67"/>
    <w:rsid w:val="00F4463F"/>
    <w:rsid w:val="00F510D4"/>
    <w:rsid w:val="00F518CE"/>
    <w:rsid w:val="00F52D78"/>
    <w:rsid w:val="00F5360A"/>
    <w:rsid w:val="00F74F7C"/>
    <w:rsid w:val="00F75E65"/>
    <w:rsid w:val="00F77367"/>
    <w:rsid w:val="00F84A7C"/>
    <w:rsid w:val="00F90925"/>
    <w:rsid w:val="00F94214"/>
    <w:rsid w:val="00F95418"/>
    <w:rsid w:val="00F95718"/>
    <w:rsid w:val="00FB69A9"/>
    <w:rsid w:val="00FC0E76"/>
    <w:rsid w:val="00FD17DE"/>
    <w:rsid w:val="00FD29C8"/>
    <w:rsid w:val="00FE6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C5D"/>
  <w15:docId w15:val="{F67077F7-1A0C-49BB-AB16-DF49AB3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177E"/>
    <w:pPr>
      <w:jc w:val="both"/>
    </w:pPr>
  </w:style>
  <w:style w:type="paragraph" w:styleId="Nagwek1">
    <w:name w:val="heading 1"/>
    <w:basedOn w:val="Normalny"/>
    <w:next w:val="Normalny"/>
    <w:link w:val="Nagwek1Znak"/>
    <w:uiPriority w:val="9"/>
    <w:qFormat/>
    <w:rsid w:val="00AF1E15"/>
    <w:pPr>
      <w:outlineLvl w:val="0"/>
    </w:pPr>
    <w:rPr>
      <w:b/>
      <w:bCs/>
      <w:sz w:val="24"/>
      <w:szCs w:val="24"/>
    </w:rPr>
  </w:style>
  <w:style w:type="paragraph" w:styleId="Nagwek3">
    <w:name w:val="heading 3"/>
    <w:basedOn w:val="Normalny"/>
    <w:next w:val="Normalny"/>
    <w:link w:val="Nagwek3Znak"/>
    <w:uiPriority w:val="9"/>
    <w:unhideWhenUsed/>
    <w:qFormat/>
    <w:rsid w:val="00F25FB3"/>
    <w:pPr>
      <w:numPr>
        <w:numId w:val="11"/>
      </w:numPr>
      <w:outlineLvl w:val="2"/>
    </w:pPr>
    <w:rPr>
      <w:b/>
      <w:bCs/>
      <w:color w:val="ED7D31"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1E15"/>
    <w:rPr>
      <w:b/>
      <w:bCs/>
      <w:sz w:val="24"/>
      <w:szCs w:val="24"/>
    </w:rPr>
  </w:style>
  <w:style w:type="paragraph" w:styleId="Nagwek">
    <w:name w:val="header"/>
    <w:basedOn w:val="Normalny"/>
    <w:link w:val="NagwekZnak"/>
    <w:uiPriority w:val="99"/>
    <w:unhideWhenUsed/>
    <w:rsid w:val="00AF1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1E15"/>
  </w:style>
  <w:style w:type="paragraph" w:styleId="Stopka">
    <w:name w:val="footer"/>
    <w:basedOn w:val="Normalny"/>
    <w:link w:val="StopkaZnak"/>
    <w:uiPriority w:val="99"/>
    <w:unhideWhenUsed/>
    <w:rsid w:val="00AF1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1E15"/>
  </w:style>
  <w:style w:type="character" w:customStyle="1" w:styleId="Nagwek3Znak">
    <w:name w:val="Nagłówek 3 Znak"/>
    <w:basedOn w:val="Domylnaczcionkaakapitu"/>
    <w:link w:val="Nagwek3"/>
    <w:uiPriority w:val="9"/>
    <w:rsid w:val="00F25FB3"/>
    <w:rPr>
      <w:b/>
      <w:bCs/>
      <w:color w:val="ED7D31" w:themeColor="accent2"/>
    </w:rPr>
  </w:style>
  <w:style w:type="table" w:styleId="Tabela-Siatka">
    <w:name w:val="Table Grid"/>
    <w:basedOn w:val="Standardowy"/>
    <w:uiPriority w:val="39"/>
    <w:rsid w:val="00F9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C5124"/>
    <w:rPr>
      <w:color w:val="808080"/>
    </w:rPr>
  </w:style>
  <w:style w:type="character" w:styleId="Hipercze">
    <w:name w:val="Hyperlink"/>
    <w:uiPriority w:val="99"/>
    <w:unhideWhenUsed/>
    <w:rsid w:val="004D7ADE"/>
    <w:rPr>
      <w:color w:val="0000FF"/>
      <w:u w:val="single"/>
    </w:rPr>
  </w:style>
  <w:style w:type="paragraph" w:styleId="Tekstdymka">
    <w:name w:val="Balloon Text"/>
    <w:basedOn w:val="Normalny"/>
    <w:link w:val="TekstdymkaZnak"/>
    <w:uiPriority w:val="99"/>
    <w:semiHidden/>
    <w:unhideWhenUsed/>
    <w:rsid w:val="00CA5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5516"/>
    <w:rPr>
      <w:rFonts w:ascii="Tahoma" w:hAnsi="Tahoma" w:cs="Tahoma"/>
      <w:sz w:val="16"/>
      <w:szCs w:val="16"/>
    </w:rPr>
  </w:style>
  <w:style w:type="character" w:styleId="Odwoaniedokomentarza">
    <w:name w:val="annotation reference"/>
    <w:basedOn w:val="Domylnaczcionkaakapitu"/>
    <w:uiPriority w:val="99"/>
    <w:semiHidden/>
    <w:unhideWhenUsed/>
    <w:rsid w:val="00E77061"/>
    <w:rPr>
      <w:sz w:val="16"/>
      <w:szCs w:val="16"/>
    </w:rPr>
  </w:style>
  <w:style w:type="paragraph" w:styleId="Tekstkomentarza">
    <w:name w:val="annotation text"/>
    <w:basedOn w:val="Normalny"/>
    <w:link w:val="TekstkomentarzaZnak"/>
    <w:uiPriority w:val="99"/>
    <w:semiHidden/>
    <w:unhideWhenUsed/>
    <w:rsid w:val="00E77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061"/>
    <w:rPr>
      <w:sz w:val="20"/>
      <w:szCs w:val="20"/>
    </w:rPr>
  </w:style>
  <w:style w:type="paragraph" w:styleId="Tematkomentarza">
    <w:name w:val="annotation subject"/>
    <w:basedOn w:val="Tekstkomentarza"/>
    <w:next w:val="Tekstkomentarza"/>
    <w:link w:val="TematkomentarzaZnak"/>
    <w:uiPriority w:val="99"/>
    <w:semiHidden/>
    <w:unhideWhenUsed/>
    <w:rsid w:val="00E77061"/>
    <w:rPr>
      <w:b/>
      <w:bCs/>
    </w:rPr>
  </w:style>
  <w:style w:type="character" w:customStyle="1" w:styleId="TematkomentarzaZnak">
    <w:name w:val="Temat komentarza Znak"/>
    <w:basedOn w:val="TekstkomentarzaZnak"/>
    <w:link w:val="Tematkomentarza"/>
    <w:uiPriority w:val="99"/>
    <w:semiHidden/>
    <w:rsid w:val="00E77061"/>
    <w:rPr>
      <w:b/>
      <w:bCs/>
      <w:sz w:val="20"/>
      <w:szCs w:val="20"/>
    </w:rPr>
  </w:style>
  <w:style w:type="paragraph" w:styleId="Tekstprzypisudolnego">
    <w:name w:val="footnote text"/>
    <w:basedOn w:val="Normalny"/>
    <w:link w:val="TekstprzypisudolnegoZnak"/>
    <w:uiPriority w:val="99"/>
    <w:semiHidden/>
    <w:unhideWhenUsed/>
    <w:rsid w:val="00CA3D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3D2D"/>
    <w:rPr>
      <w:sz w:val="20"/>
      <w:szCs w:val="20"/>
    </w:rPr>
  </w:style>
  <w:style w:type="character" w:styleId="Odwoanieprzypisudolnego">
    <w:name w:val="footnote reference"/>
    <w:basedOn w:val="Domylnaczcionkaakapitu"/>
    <w:uiPriority w:val="99"/>
    <w:semiHidden/>
    <w:unhideWhenUsed/>
    <w:rsid w:val="00CA3D2D"/>
    <w:rPr>
      <w:vertAlign w:val="superscript"/>
    </w:rPr>
  </w:style>
  <w:style w:type="paragraph" w:styleId="NormalnyWeb">
    <w:name w:val="Normal (Web)"/>
    <w:basedOn w:val="Normalny"/>
    <w:uiPriority w:val="99"/>
    <w:semiHidden/>
    <w:unhideWhenUsed/>
    <w:rsid w:val="006E080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C0E76"/>
    <w:pPr>
      <w:ind w:left="720"/>
      <w:contextualSpacing/>
    </w:pPr>
  </w:style>
  <w:style w:type="character" w:customStyle="1" w:styleId="FootnoteCharacters">
    <w:name w:val="Footnote Characters"/>
    <w:qFormat/>
    <w:rsid w:val="004F223E"/>
    <w:rPr>
      <w:vertAlign w:val="superscript"/>
    </w:rPr>
  </w:style>
  <w:style w:type="character" w:customStyle="1" w:styleId="FootnoteAnchor">
    <w:name w:val="Footnote Anchor"/>
    <w:rsid w:val="004F223E"/>
    <w:rPr>
      <w:vertAlign w:val="superscript"/>
    </w:rPr>
  </w:style>
  <w:style w:type="character" w:customStyle="1" w:styleId="InternetLink">
    <w:name w:val="Internet Link"/>
    <w:basedOn w:val="Domylnaczcionkaakapitu"/>
    <w:uiPriority w:val="99"/>
    <w:unhideWhenUsed/>
    <w:rsid w:val="004F223E"/>
    <w:rPr>
      <w:color w:val="0563C1" w:themeColor="hyperlink"/>
      <w:u w:val="single"/>
    </w:rPr>
  </w:style>
  <w:style w:type="character" w:customStyle="1" w:styleId="Nierozpoznanawzmianka1">
    <w:name w:val="Nierozpoznana wzmianka1"/>
    <w:basedOn w:val="Domylnaczcionkaakapitu"/>
    <w:uiPriority w:val="99"/>
    <w:semiHidden/>
    <w:unhideWhenUsed/>
    <w:rsid w:val="006F5348"/>
    <w:rPr>
      <w:color w:val="605E5C"/>
      <w:shd w:val="clear" w:color="auto" w:fill="E1DFDD"/>
    </w:rPr>
  </w:style>
  <w:style w:type="character" w:styleId="UyteHipercze">
    <w:name w:val="FollowedHyperlink"/>
    <w:basedOn w:val="Domylnaczcionkaakapitu"/>
    <w:uiPriority w:val="99"/>
    <w:semiHidden/>
    <w:unhideWhenUsed/>
    <w:rsid w:val="000D4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0814">
      <w:bodyDiv w:val="1"/>
      <w:marLeft w:val="0"/>
      <w:marRight w:val="0"/>
      <w:marTop w:val="0"/>
      <w:marBottom w:val="0"/>
      <w:divBdr>
        <w:top w:val="none" w:sz="0" w:space="0" w:color="auto"/>
        <w:left w:val="none" w:sz="0" w:space="0" w:color="auto"/>
        <w:bottom w:val="none" w:sz="0" w:space="0" w:color="auto"/>
        <w:right w:val="none" w:sz="0" w:space="0" w:color="auto"/>
      </w:divBdr>
    </w:div>
    <w:div w:id="372116547">
      <w:bodyDiv w:val="1"/>
      <w:marLeft w:val="0"/>
      <w:marRight w:val="0"/>
      <w:marTop w:val="0"/>
      <w:marBottom w:val="0"/>
      <w:divBdr>
        <w:top w:val="none" w:sz="0" w:space="0" w:color="auto"/>
        <w:left w:val="none" w:sz="0" w:space="0" w:color="auto"/>
        <w:bottom w:val="none" w:sz="0" w:space="0" w:color="auto"/>
        <w:right w:val="none" w:sz="0" w:space="0" w:color="auto"/>
      </w:divBdr>
      <w:divsChild>
        <w:div w:id="1389375909">
          <w:marLeft w:val="0"/>
          <w:marRight w:val="0"/>
          <w:marTop w:val="0"/>
          <w:marBottom w:val="0"/>
          <w:divBdr>
            <w:top w:val="none" w:sz="0" w:space="0" w:color="auto"/>
            <w:left w:val="none" w:sz="0" w:space="0" w:color="auto"/>
            <w:bottom w:val="none" w:sz="0" w:space="0" w:color="auto"/>
            <w:right w:val="none" w:sz="0" w:space="0" w:color="auto"/>
          </w:divBdr>
          <w:divsChild>
            <w:div w:id="146943795">
              <w:marLeft w:val="0"/>
              <w:marRight w:val="0"/>
              <w:marTop w:val="0"/>
              <w:marBottom w:val="0"/>
              <w:divBdr>
                <w:top w:val="none" w:sz="0" w:space="0" w:color="auto"/>
                <w:left w:val="none" w:sz="0" w:space="0" w:color="auto"/>
                <w:bottom w:val="none" w:sz="0" w:space="0" w:color="auto"/>
                <w:right w:val="none" w:sz="0" w:space="0" w:color="auto"/>
              </w:divBdr>
              <w:divsChild>
                <w:div w:id="7742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2649">
      <w:bodyDiv w:val="1"/>
      <w:marLeft w:val="0"/>
      <w:marRight w:val="0"/>
      <w:marTop w:val="0"/>
      <w:marBottom w:val="0"/>
      <w:divBdr>
        <w:top w:val="none" w:sz="0" w:space="0" w:color="auto"/>
        <w:left w:val="none" w:sz="0" w:space="0" w:color="auto"/>
        <w:bottom w:val="none" w:sz="0" w:space="0" w:color="auto"/>
        <w:right w:val="none" w:sz="0" w:space="0" w:color="auto"/>
      </w:divBdr>
    </w:div>
    <w:div w:id="539635409">
      <w:bodyDiv w:val="1"/>
      <w:marLeft w:val="0"/>
      <w:marRight w:val="0"/>
      <w:marTop w:val="0"/>
      <w:marBottom w:val="0"/>
      <w:divBdr>
        <w:top w:val="none" w:sz="0" w:space="0" w:color="auto"/>
        <w:left w:val="none" w:sz="0" w:space="0" w:color="auto"/>
        <w:bottom w:val="none" w:sz="0" w:space="0" w:color="auto"/>
        <w:right w:val="none" w:sz="0" w:space="0" w:color="auto"/>
      </w:divBdr>
    </w:div>
    <w:div w:id="677654350">
      <w:bodyDiv w:val="1"/>
      <w:marLeft w:val="0"/>
      <w:marRight w:val="0"/>
      <w:marTop w:val="0"/>
      <w:marBottom w:val="0"/>
      <w:divBdr>
        <w:top w:val="none" w:sz="0" w:space="0" w:color="auto"/>
        <w:left w:val="none" w:sz="0" w:space="0" w:color="auto"/>
        <w:bottom w:val="none" w:sz="0" w:space="0" w:color="auto"/>
        <w:right w:val="none" w:sz="0" w:space="0" w:color="auto"/>
      </w:divBdr>
      <w:divsChild>
        <w:div w:id="286205735">
          <w:marLeft w:val="0"/>
          <w:marRight w:val="0"/>
          <w:marTop w:val="0"/>
          <w:marBottom w:val="0"/>
          <w:divBdr>
            <w:top w:val="none" w:sz="0" w:space="0" w:color="auto"/>
            <w:left w:val="none" w:sz="0" w:space="0" w:color="auto"/>
            <w:bottom w:val="none" w:sz="0" w:space="0" w:color="auto"/>
            <w:right w:val="none" w:sz="0" w:space="0" w:color="auto"/>
          </w:divBdr>
          <w:divsChild>
            <w:div w:id="802649343">
              <w:marLeft w:val="0"/>
              <w:marRight w:val="0"/>
              <w:marTop w:val="0"/>
              <w:marBottom w:val="0"/>
              <w:divBdr>
                <w:top w:val="none" w:sz="0" w:space="0" w:color="auto"/>
                <w:left w:val="none" w:sz="0" w:space="0" w:color="auto"/>
                <w:bottom w:val="none" w:sz="0" w:space="0" w:color="auto"/>
                <w:right w:val="none" w:sz="0" w:space="0" w:color="auto"/>
              </w:divBdr>
              <w:divsChild>
                <w:div w:id="351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144">
      <w:bodyDiv w:val="1"/>
      <w:marLeft w:val="0"/>
      <w:marRight w:val="0"/>
      <w:marTop w:val="0"/>
      <w:marBottom w:val="0"/>
      <w:divBdr>
        <w:top w:val="none" w:sz="0" w:space="0" w:color="auto"/>
        <w:left w:val="none" w:sz="0" w:space="0" w:color="auto"/>
        <w:bottom w:val="none" w:sz="0" w:space="0" w:color="auto"/>
        <w:right w:val="none" w:sz="0" w:space="0" w:color="auto"/>
      </w:divBdr>
      <w:divsChild>
        <w:div w:id="1027559851">
          <w:marLeft w:val="0"/>
          <w:marRight w:val="0"/>
          <w:marTop w:val="0"/>
          <w:marBottom w:val="0"/>
          <w:divBdr>
            <w:top w:val="none" w:sz="0" w:space="0" w:color="auto"/>
            <w:left w:val="none" w:sz="0" w:space="0" w:color="auto"/>
            <w:bottom w:val="none" w:sz="0" w:space="0" w:color="auto"/>
            <w:right w:val="none" w:sz="0" w:space="0" w:color="auto"/>
          </w:divBdr>
          <w:divsChild>
            <w:div w:id="1203597972">
              <w:marLeft w:val="0"/>
              <w:marRight w:val="0"/>
              <w:marTop w:val="0"/>
              <w:marBottom w:val="0"/>
              <w:divBdr>
                <w:top w:val="none" w:sz="0" w:space="0" w:color="auto"/>
                <w:left w:val="none" w:sz="0" w:space="0" w:color="auto"/>
                <w:bottom w:val="none" w:sz="0" w:space="0" w:color="auto"/>
                <w:right w:val="none" w:sz="0" w:space="0" w:color="auto"/>
              </w:divBdr>
              <w:divsChild>
                <w:div w:id="612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4888">
      <w:bodyDiv w:val="1"/>
      <w:marLeft w:val="0"/>
      <w:marRight w:val="0"/>
      <w:marTop w:val="0"/>
      <w:marBottom w:val="0"/>
      <w:divBdr>
        <w:top w:val="none" w:sz="0" w:space="0" w:color="auto"/>
        <w:left w:val="none" w:sz="0" w:space="0" w:color="auto"/>
        <w:bottom w:val="none" w:sz="0" w:space="0" w:color="auto"/>
        <w:right w:val="none" w:sz="0" w:space="0" w:color="auto"/>
      </w:divBdr>
    </w:div>
    <w:div w:id="1280599853">
      <w:bodyDiv w:val="1"/>
      <w:marLeft w:val="0"/>
      <w:marRight w:val="0"/>
      <w:marTop w:val="0"/>
      <w:marBottom w:val="0"/>
      <w:divBdr>
        <w:top w:val="none" w:sz="0" w:space="0" w:color="auto"/>
        <w:left w:val="none" w:sz="0" w:space="0" w:color="auto"/>
        <w:bottom w:val="none" w:sz="0" w:space="0" w:color="auto"/>
        <w:right w:val="none" w:sz="0" w:space="0" w:color="auto"/>
      </w:divBdr>
    </w:div>
    <w:div w:id="1307247868">
      <w:bodyDiv w:val="1"/>
      <w:marLeft w:val="0"/>
      <w:marRight w:val="0"/>
      <w:marTop w:val="0"/>
      <w:marBottom w:val="0"/>
      <w:divBdr>
        <w:top w:val="none" w:sz="0" w:space="0" w:color="auto"/>
        <w:left w:val="none" w:sz="0" w:space="0" w:color="auto"/>
        <w:bottom w:val="none" w:sz="0" w:space="0" w:color="auto"/>
        <w:right w:val="none" w:sz="0" w:space="0" w:color="auto"/>
      </w:divBdr>
      <w:divsChild>
        <w:div w:id="137311494">
          <w:marLeft w:val="0"/>
          <w:marRight w:val="0"/>
          <w:marTop w:val="0"/>
          <w:marBottom w:val="0"/>
          <w:divBdr>
            <w:top w:val="none" w:sz="0" w:space="0" w:color="auto"/>
            <w:left w:val="none" w:sz="0" w:space="0" w:color="auto"/>
            <w:bottom w:val="none" w:sz="0" w:space="0" w:color="auto"/>
            <w:right w:val="none" w:sz="0" w:space="0" w:color="auto"/>
          </w:divBdr>
          <w:divsChild>
            <w:div w:id="727723869">
              <w:marLeft w:val="0"/>
              <w:marRight w:val="0"/>
              <w:marTop w:val="0"/>
              <w:marBottom w:val="0"/>
              <w:divBdr>
                <w:top w:val="none" w:sz="0" w:space="0" w:color="auto"/>
                <w:left w:val="none" w:sz="0" w:space="0" w:color="auto"/>
                <w:bottom w:val="none" w:sz="0" w:space="0" w:color="auto"/>
                <w:right w:val="none" w:sz="0" w:space="0" w:color="auto"/>
              </w:divBdr>
              <w:divsChild>
                <w:div w:id="19523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601">
      <w:bodyDiv w:val="1"/>
      <w:marLeft w:val="0"/>
      <w:marRight w:val="0"/>
      <w:marTop w:val="0"/>
      <w:marBottom w:val="0"/>
      <w:divBdr>
        <w:top w:val="none" w:sz="0" w:space="0" w:color="auto"/>
        <w:left w:val="none" w:sz="0" w:space="0" w:color="auto"/>
        <w:bottom w:val="none" w:sz="0" w:space="0" w:color="auto"/>
        <w:right w:val="none" w:sz="0" w:space="0" w:color="auto"/>
      </w:divBdr>
    </w:div>
    <w:div w:id="1907953211">
      <w:bodyDiv w:val="1"/>
      <w:marLeft w:val="0"/>
      <w:marRight w:val="0"/>
      <w:marTop w:val="0"/>
      <w:marBottom w:val="0"/>
      <w:divBdr>
        <w:top w:val="none" w:sz="0" w:space="0" w:color="auto"/>
        <w:left w:val="none" w:sz="0" w:space="0" w:color="auto"/>
        <w:bottom w:val="none" w:sz="0" w:space="0" w:color="auto"/>
        <w:right w:val="none" w:sz="0" w:space="0" w:color="auto"/>
      </w:divBdr>
      <w:divsChild>
        <w:div w:id="1323435818">
          <w:marLeft w:val="0"/>
          <w:marRight w:val="0"/>
          <w:marTop w:val="0"/>
          <w:marBottom w:val="0"/>
          <w:divBdr>
            <w:top w:val="none" w:sz="0" w:space="0" w:color="auto"/>
            <w:left w:val="none" w:sz="0" w:space="0" w:color="auto"/>
            <w:bottom w:val="none" w:sz="0" w:space="0" w:color="auto"/>
            <w:right w:val="none" w:sz="0" w:space="0" w:color="auto"/>
          </w:divBdr>
          <w:divsChild>
            <w:div w:id="2090540093">
              <w:marLeft w:val="0"/>
              <w:marRight w:val="0"/>
              <w:marTop w:val="0"/>
              <w:marBottom w:val="0"/>
              <w:divBdr>
                <w:top w:val="none" w:sz="0" w:space="0" w:color="auto"/>
                <w:left w:val="none" w:sz="0" w:space="0" w:color="auto"/>
                <w:bottom w:val="none" w:sz="0" w:space="0" w:color="auto"/>
                <w:right w:val="none" w:sz="0" w:space="0" w:color="auto"/>
              </w:divBdr>
              <w:divsChild>
                <w:div w:id="418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p15.kk.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BE39E8287FDA42B03AB86FCE82983A" ma:contentTypeVersion="2" ma:contentTypeDescription="Utwórz nowy dokument." ma:contentTypeScope="" ma:versionID="7fca2d4563b216d1fe8990182c20c8fb">
  <xsd:schema xmlns:xsd="http://www.w3.org/2001/XMLSchema" xmlns:xs="http://www.w3.org/2001/XMLSchema" xmlns:p="http://schemas.microsoft.com/office/2006/metadata/properties" xmlns:ns2="7333f447-a57b-4250-87eb-7474e5a72328" targetNamespace="http://schemas.microsoft.com/office/2006/metadata/properties" ma:root="true" ma:fieldsID="00bf2a1fb99e7d3194ca255df7fca5af" ns2:_="">
    <xsd:import namespace="7333f447-a57b-4250-87eb-7474e5a723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3f447-a57b-4250-87eb-7474e5a72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FFF82-C652-4E29-ABBE-6BAB80DABFCD}">
  <ds:schemaRefs>
    <ds:schemaRef ds:uri="http://schemas.openxmlformats.org/officeDocument/2006/bibliography"/>
  </ds:schemaRefs>
</ds:datastoreItem>
</file>

<file path=customXml/itemProps2.xml><?xml version="1.0" encoding="utf-8"?>
<ds:datastoreItem xmlns:ds="http://schemas.openxmlformats.org/officeDocument/2006/customXml" ds:itemID="{6E7AA5F3-CF1E-4883-BCA1-71208D4CA049}">
  <ds:schemaRefs>
    <ds:schemaRef ds:uri="http://schemas.microsoft.com/sharepoint/v3/contenttype/forms"/>
  </ds:schemaRefs>
</ds:datastoreItem>
</file>

<file path=customXml/itemProps3.xml><?xml version="1.0" encoding="utf-8"?>
<ds:datastoreItem xmlns:ds="http://schemas.openxmlformats.org/officeDocument/2006/customXml" ds:itemID="{D9476BAB-7D85-4E0F-9AE3-A1010104D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3f447-a57b-4250-87eb-7474e5a7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8FE0-3858-441A-BC02-5C6EE859E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1692</Words>
  <Characters>10154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Janas</dc:creator>
  <cp:lastModifiedBy>Karol Janas</cp:lastModifiedBy>
  <cp:revision>8</cp:revision>
  <dcterms:created xsi:type="dcterms:W3CDTF">2021-05-12T09:15:00Z</dcterms:created>
  <dcterms:modified xsi:type="dcterms:W3CDTF">2021-05-21T18:12:00Z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0x010100F0BE39E8287FDA42B03AB86FCE82983A</vt:lpwstr>
  </property>
</Properties>
</file>