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0E71" w14:textId="59E02571" w:rsidR="00AF1E15" w:rsidRPr="00B036C4" w:rsidRDefault="00AF1E15" w:rsidP="005B177E">
      <w:pPr>
        <w:pStyle w:val="Nagwek1"/>
      </w:pPr>
      <w:r w:rsidRPr="00B036C4">
        <w:t xml:space="preserve">KARTA </w:t>
      </w:r>
      <w:r w:rsidR="00D51922">
        <w:t>ROZWIĄZANIA</w:t>
      </w:r>
      <w:r w:rsidR="00E712DD">
        <w:t>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5977"/>
      </w:tblGrid>
      <w:tr w:rsidR="00F90925" w:rsidRPr="00F90925" w14:paraId="7821764E" w14:textId="41E2E028" w:rsidTr="00001362">
        <w:tc>
          <w:tcPr>
            <w:tcW w:w="3085" w:type="dxa"/>
          </w:tcPr>
          <w:p w14:paraId="39BF3A04" w14:textId="77777777" w:rsidR="00F90925" w:rsidRPr="00F90925" w:rsidRDefault="00F90925" w:rsidP="00181521">
            <w:r w:rsidRPr="00F90925">
              <w:t xml:space="preserve">ID: </w:t>
            </w:r>
          </w:p>
        </w:tc>
        <w:tc>
          <w:tcPr>
            <w:tcW w:w="5977" w:type="dxa"/>
            <w:vAlign w:val="center"/>
          </w:tcPr>
          <w:p w14:paraId="37BE3C1E" w14:textId="3CB9B4AB" w:rsidR="00F90925" w:rsidRPr="00066B1C" w:rsidRDefault="00A9431B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P.01.4</w:t>
            </w:r>
          </w:p>
        </w:tc>
      </w:tr>
      <w:tr w:rsidR="009B69F9" w:rsidRPr="00F90925" w14:paraId="617B7578" w14:textId="77777777" w:rsidTr="00001362">
        <w:tc>
          <w:tcPr>
            <w:tcW w:w="3085" w:type="dxa"/>
          </w:tcPr>
          <w:p w14:paraId="2994B589" w14:textId="65235045" w:rsidR="009B69F9" w:rsidRPr="00F90925" w:rsidRDefault="00560733" w:rsidP="00181521">
            <w:r>
              <w:t>Typ instrumentarium</w:t>
            </w:r>
            <w:r w:rsidR="009B69F9">
              <w:t xml:space="preserve"> (a do f)</w:t>
            </w:r>
            <w:r w:rsidR="00C377DE" w:rsidRPr="00C377DE">
              <w:rPr>
                <w:rStyle w:val="Odwoanieprzypisudolnego"/>
              </w:rPr>
              <w:t xml:space="preserve"> </w:t>
            </w:r>
            <w:r w:rsidR="00C377DE" w:rsidRPr="00C377DE">
              <w:rPr>
                <w:rStyle w:val="Odwoanieprzypisudolnego"/>
              </w:rPr>
              <w:footnoteReference w:id="1"/>
            </w:r>
          </w:p>
        </w:tc>
        <w:tc>
          <w:tcPr>
            <w:tcW w:w="5977" w:type="dxa"/>
            <w:vAlign w:val="center"/>
          </w:tcPr>
          <w:p w14:paraId="49050AC8" w14:textId="6F588108" w:rsidR="009B69F9" w:rsidRPr="00066B1C" w:rsidRDefault="00001362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</w:t>
            </w:r>
            <w:r w:rsidRPr="00001362">
              <w:rPr>
                <w:sz w:val="20"/>
                <w:szCs w:val="20"/>
              </w:rPr>
              <w:t>ozwiązania w zakresie regulacji prawnych, administracyjnych itd.</w:t>
            </w:r>
          </w:p>
        </w:tc>
      </w:tr>
      <w:tr w:rsidR="00663CD8" w:rsidRPr="003F38E2" w14:paraId="6ABDC081" w14:textId="77777777" w:rsidTr="00001362">
        <w:tc>
          <w:tcPr>
            <w:tcW w:w="3085" w:type="dxa"/>
          </w:tcPr>
          <w:p w14:paraId="452B137C" w14:textId="6DEE5C8D" w:rsidR="00663CD8" w:rsidRPr="003F38E2" w:rsidRDefault="00EC3F3C" w:rsidP="003F38E2">
            <w:r w:rsidRPr="003F38E2">
              <w:t>Kategoria rozwiązania</w:t>
            </w:r>
            <w:r w:rsidR="00663CD8" w:rsidRPr="003F38E2">
              <w:t xml:space="preserve"> </w:t>
            </w:r>
            <w:r w:rsidR="00EE1A5C" w:rsidRPr="003F38E2">
              <w:t>(</w:t>
            </w:r>
            <w:r w:rsidR="00B07FEB" w:rsidRPr="003F38E2">
              <w:t>A</w:t>
            </w:r>
            <w:r w:rsidR="00EE1A5C" w:rsidRPr="003F38E2">
              <w:t xml:space="preserve"> do </w:t>
            </w:r>
            <w:r w:rsidR="00B07FEB" w:rsidRPr="003F38E2">
              <w:t>C</w:t>
            </w:r>
            <w:r w:rsidR="00EE1A5C" w:rsidRPr="003F38E2">
              <w:t>)</w:t>
            </w:r>
            <w:r w:rsidR="00C377DE" w:rsidRPr="003F38E2">
              <w:rPr>
                <w:rStyle w:val="Odwoanieprzypisudolnego"/>
              </w:rPr>
              <w:footnoteReference w:id="2"/>
            </w:r>
          </w:p>
        </w:tc>
        <w:tc>
          <w:tcPr>
            <w:tcW w:w="5977" w:type="dxa"/>
            <w:vAlign w:val="center"/>
          </w:tcPr>
          <w:p w14:paraId="20976300" w14:textId="5BDFE1E7" w:rsidR="00663CD8" w:rsidRPr="00066B1C" w:rsidRDefault="00001362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regulacje prawne</w:t>
            </w:r>
          </w:p>
        </w:tc>
      </w:tr>
      <w:tr w:rsidR="00F90925" w:rsidRPr="003F38E2" w14:paraId="2A80D9C8" w14:textId="18233799" w:rsidTr="00001362">
        <w:tc>
          <w:tcPr>
            <w:tcW w:w="3085" w:type="dxa"/>
          </w:tcPr>
          <w:p w14:paraId="36C479C9" w14:textId="77777777" w:rsidR="00F90925" w:rsidRPr="003F38E2" w:rsidRDefault="00F90925" w:rsidP="003F38E2">
            <w:r w:rsidRPr="003F38E2">
              <w:t xml:space="preserve">Data aktualizacji wpisu: </w:t>
            </w:r>
          </w:p>
        </w:tc>
        <w:tc>
          <w:tcPr>
            <w:tcW w:w="5977" w:type="dxa"/>
            <w:vAlign w:val="center"/>
          </w:tcPr>
          <w:p w14:paraId="1A189DDC" w14:textId="47158BE2" w:rsidR="00F90925" w:rsidRPr="00066B1C" w:rsidRDefault="00B32F33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01362">
              <w:rPr>
                <w:sz w:val="20"/>
                <w:szCs w:val="20"/>
              </w:rPr>
              <w:t>.05.2021</w:t>
            </w:r>
          </w:p>
        </w:tc>
      </w:tr>
      <w:tr w:rsidR="007F2B23" w:rsidRPr="003F38E2" w14:paraId="6028DB43" w14:textId="77777777" w:rsidTr="00001362">
        <w:tc>
          <w:tcPr>
            <w:tcW w:w="3085" w:type="dxa"/>
          </w:tcPr>
          <w:p w14:paraId="4A45FCE0" w14:textId="65E4B927" w:rsidR="007F2B23" w:rsidRPr="003F38E2" w:rsidRDefault="00D543AC" w:rsidP="003F38E2">
            <w:pPr>
              <w:jc w:val="left"/>
            </w:pPr>
            <w:r w:rsidRPr="003F38E2">
              <w:t>ID i nazwa wyzwania, którego dotyczy proponowane rozwiązanie:</w:t>
            </w:r>
          </w:p>
        </w:tc>
        <w:tc>
          <w:tcPr>
            <w:tcW w:w="5977" w:type="dxa"/>
            <w:vAlign w:val="center"/>
          </w:tcPr>
          <w:p w14:paraId="7A030021" w14:textId="45CF863A" w:rsidR="007F2B23" w:rsidRPr="00066B1C" w:rsidRDefault="00001362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P.01. </w:t>
            </w:r>
            <w:r w:rsidRPr="00001362">
              <w:rPr>
                <w:sz w:val="20"/>
                <w:szCs w:val="20"/>
              </w:rPr>
              <w:t>Kształtowanie miasta zwartego oraz przeciwdziałanie chaotycznej i niekontrolowanej suburbanizacji</w:t>
            </w:r>
          </w:p>
        </w:tc>
      </w:tr>
      <w:tr w:rsidR="00F90925" w:rsidRPr="003F38E2" w14:paraId="3617DFE9" w14:textId="361884C3" w:rsidTr="00001362">
        <w:tc>
          <w:tcPr>
            <w:tcW w:w="3085" w:type="dxa"/>
          </w:tcPr>
          <w:p w14:paraId="2C2F8541" w14:textId="77777777" w:rsidR="00F90925" w:rsidRPr="003F38E2" w:rsidRDefault="00F90925" w:rsidP="003F38E2">
            <w:r w:rsidRPr="003F38E2">
              <w:t xml:space="preserve">Autorzy: </w:t>
            </w:r>
          </w:p>
        </w:tc>
        <w:tc>
          <w:tcPr>
            <w:tcW w:w="5977" w:type="dxa"/>
            <w:vAlign w:val="center"/>
          </w:tcPr>
          <w:p w14:paraId="65A9F0CC" w14:textId="6E0E4442" w:rsidR="00F90925" w:rsidRPr="00066B1C" w:rsidRDefault="00001362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ekspercka ds. kształtowania przestrzeni</w:t>
            </w:r>
          </w:p>
        </w:tc>
      </w:tr>
      <w:tr w:rsidR="00F90925" w:rsidRPr="003F38E2" w14:paraId="0C688C6B" w14:textId="0E15D1CB" w:rsidTr="00001362">
        <w:tc>
          <w:tcPr>
            <w:tcW w:w="3085" w:type="dxa"/>
            <w:tcBorders>
              <w:bottom w:val="single" w:sz="4" w:space="0" w:color="auto"/>
            </w:tcBorders>
          </w:tcPr>
          <w:p w14:paraId="4CF5CA8E" w14:textId="77777777" w:rsidR="00F90925" w:rsidRPr="003F38E2" w:rsidRDefault="00F90925" w:rsidP="003F38E2">
            <w:r w:rsidRPr="003F38E2">
              <w:t>Grupa ekspercka: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center"/>
          </w:tcPr>
          <w:p w14:paraId="761E1D01" w14:textId="4B653A88" w:rsidR="00F90925" w:rsidRPr="00066B1C" w:rsidRDefault="00001362" w:rsidP="000013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ekspercka ds. kształtowania przestrzeni</w:t>
            </w:r>
          </w:p>
        </w:tc>
      </w:tr>
      <w:tr w:rsidR="00F323EC" w:rsidRPr="003F38E2" w14:paraId="796229EB" w14:textId="77777777" w:rsidTr="00B07FEB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167C3C17" w14:textId="77777777" w:rsidR="00F323EC" w:rsidRPr="003F38E2" w:rsidRDefault="00F323EC" w:rsidP="003F38E2"/>
        </w:tc>
        <w:tc>
          <w:tcPr>
            <w:tcW w:w="5977" w:type="dxa"/>
            <w:tcBorders>
              <w:left w:val="nil"/>
              <w:bottom w:val="nil"/>
              <w:right w:val="nil"/>
            </w:tcBorders>
          </w:tcPr>
          <w:p w14:paraId="3719F1E8" w14:textId="77777777" w:rsidR="00F323EC" w:rsidRPr="003F38E2" w:rsidRDefault="00F323EC" w:rsidP="003F38E2"/>
        </w:tc>
      </w:tr>
    </w:tbl>
    <w:p w14:paraId="01F88FF4" w14:textId="25A7C6CB" w:rsidR="00AF1E15" w:rsidRPr="003F38E2" w:rsidRDefault="00AF1E15" w:rsidP="003F38E2">
      <w:pPr>
        <w:pStyle w:val="Nagwek3"/>
      </w:pPr>
      <w:r w:rsidRPr="003F38E2">
        <w:t xml:space="preserve">Nazwa </w:t>
      </w:r>
      <w:r w:rsidR="00285A78" w:rsidRPr="003F38E2">
        <w:t>rozwiązania</w:t>
      </w:r>
      <w:r w:rsidR="00F518CE" w:rsidRPr="003F38E2">
        <w:t xml:space="preserve"> [</w:t>
      </w:r>
      <w:r w:rsidR="00CA3D2D" w:rsidRPr="003F38E2">
        <w:t>200 zn</w:t>
      </w:r>
      <w:r w:rsidR="007252E4" w:rsidRPr="003F38E2">
        <w:t>.</w:t>
      </w:r>
      <w:r w:rsidR="00CA3D2D" w:rsidRPr="003F38E2">
        <w:rPr>
          <w:rStyle w:val="Odwoanieprzypisudolnego"/>
        </w:rPr>
        <w:footnoteReference w:id="3"/>
      </w:r>
      <w:r w:rsidR="00CA3D2D" w:rsidRPr="003F38E2">
        <w:t>]</w:t>
      </w:r>
      <w:r w:rsidRPr="003F38E2">
        <w:t>:</w:t>
      </w:r>
    </w:p>
    <w:p w14:paraId="442BAC1C" w14:textId="3C71E532" w:rsidR="00944C6D" w:rsidRPr="00066B1C" w:rsidRDefault="00066B1C" w:rsidP="00066B1C">
      <w:pPr>
        <w:ind w:left="708"/>
        <w:rPr>
          <w:b/>
        </w:rPr>
      </w:pPr>
      <w:r w:rsidRPr="00066B1C">
        <w:rPr>
          <w:b/>
        </w:rPr>
        <w:t xml:space="preserve">Ograniczenie </w:t>
      </w:r>
      <w:r>
        <w:rPr>
          <w:b/>
        </w:rPr>
        <w:t xml:space="preserve">możliwości </w:t>
      </w:r>
      <w:r w:rsidRPr="00066B1C">
        <w:rPr>
          <w:b/>
        </w:rPr>
        <w:t>stosowania decyzji o warunkach zabudowy</w:t>
      </w:r>
    </w:p>
    <w:p w14:paraId="2EC4405C" w14:textId="77777777" w:rsidR="00066B1C" w:rsidRPr="003F38E2" w:rsidRDefault="00066B1C" w:rsidP="003F38E2"/>
    <w:p w14:paraId="0D9DABAD" w14:textId="03CA55BB" w:rsidR="00944C6D" w:rsidRPr="003F38E2" w:rsidRDefault="00353F0C" w:rsidP="003F38E2">
      <w:pPr>
        <w:pStyle w:val="Nagwek3"/>
      </w:pPr>
      <w:r w:rsidRPr="003F38E2">
        <w:t>Zwięzła</w:t>
      </w:r>
      <w:r w:rsidR="000D7675" w:rsidRPr="003F38E2">
        <w:t xml:space="preserve"> c</w:t>
      </w:r>
      <w:r w:rsidR="00944C6D" w:rsidRPr="003F38E2">
        <w:t xml:space="preserve">harakterystyka </w:t>
      </w:r>
      <w:r w:rsidR="002F3DED" w:rsidRPr="003F38E2">
        <w:t xml:space="preserve">proponowanego </w:t>
      </w:r>
      <w:r w:rsidR="00285A78" w:rsidRPr="003F38E2">
        <w:t>rozwiązania</w:t>
      </w:r>
      <w:r w:rsidR="007252E4" w:rsidRPr="003F38E2">
        <w:t xml:space="preserve"> [2000 zn.]</w:t>
      </w:r>
      <w:r w:rsidR="00944C6D" w:rsidRPr="003F38E2">
        <w:t>:</w:t>
      </w:r>
    </w:p>
    <w:p w14:paraId="19A7D0B9" w14:textId="141D6BBE" w:rsidR="00DF5142" w:rsidRDefault="00B43002" w:rsidP="00B43002">
      <w:pPr>
        <w:ind w:firstLine="709"/>
      </w:pPr>
      <w:r>
        <w:t xml:space="preserve">Celem proponowanego rozwiązania jest znaczne ograniczenie stosowania decyzji o warunkach zabudowy jako podstawy planistycznej procesu inwestycyjnego. Jego istota polega przede wszystkim na doprecyzowaniu zasad i zakresu wydawania tego typu decyzji administracyjnych. Postulowane rozwiązanie dotyczy okresu przejściowego – tj. do wejścia w życie reformy systemu planowania przestrzennego w Polsce. Projektowana reforma, choć zakłada możliwość wydawania decyzji lokalizacyjnych, to istotnie ogranicza skalę ich stosowania. Zgodnie z jej założeniami takie decyzje służyć mają realnemu uzupełnianiu zabudowy na obszarach o ukształtowanej strukturze funkcjonalno-przestrzennej, a nie kształtowaniu nowych struktur oraz lokowaniu zabudowy na terenach niezagospodarowanych. Docelowo tego </w:t>
      </w:r>
      <w:r w:rsidR="00897067">
        <w:t>rodzaju</w:t>
      </w:r>
      <w:r>
        <w:t xml:space="preserve"> decyzje mają być wydawane </w:t>
      </w:r>
      <w:r w:rsidR="00897067">
        <w:t>wyłącznie</w:t>
      </w:r>
      <w:r>
        <w:t xml:space="preserve"> na obszarach o zwartej zabudowie </w:t>
      </w:r>
      <w:r w:rsidR="00897067">
        <w:t>i wyposażonych w niezbędną infrastrukturę techniczną i społeczną – co ma zagwarantować wymóg zgodności decyzji z planem ogólnym i standardami urbanistycznymi. Proponowane rozwiązanie wychodzi naprzeciw tym założeniom.</w:t>
      </w:r>
    </w:p>
    <w:p w14:paraId="29CD4FB2" w14:textId="098BC14F" w:rsidR="00B43002" w:rsidRPr="003F38E2" w:rsidRDefault="00B43002" w:rsidP="003F38E2"/>
    <w:p w14:paraId="7208C0A2" w14:textId="5F97171E" w:rsidR="00945623" w:rsidRDefault="00471AAC" w:rsidP="00945623">
      <w:pPr>
        <w:pStyle w:val="Nagwek3"/>
      </w:pPr>
      <w:r w:rsidRPr="003F38E2">
        <w:t>Działania szczegółowe</w:t>
      </w:r>
      <w:r w:rsidR="00CA288F" w:rsidRPr="003F38E2">
        <w:t>, narzędzia interwencji</w:t>
      </w:r>
      <w:r w:rsidR="001E1C94" w:rsidRPr="003F38E2">
        <w:t xml:space="preserve"> – szczegółowy opis</w:t>
      </w:r>
      <w:r w:rsidRPr="003F38E2">
        <w:t>:</w:t>
      </w:r>
      <w:r w:rsidR="00C71B9E" w:rsidRPr="003F38E2">
        <w:t xml:space="preserve"> [5000 zn.]</w:t>
      </w:r>
    </w:p>
    <w:p w14:paraId="17C9A2AF" w14:textId="77777777" w:rsidR="0033543A" w:rsidRDefault="0033543A" w:rsidP="0033543A">
      <w:pPr>
        <w:ind w:firstLine="708"/>
      </w:pPr>
      <w:r w:rsidRPr="00FC0908">
        <w:rPr>
          <w:b/>
        </w:rPr>
        <w:t>[</w:t>
      </w:r>
      <w:r>
        <w:rPr>
          <w:b/>
        </w:rPr>
        <w:t>Charakterystyka</w:t>
      </w:r>
      <w:r w:rsidRPr="00FC0908">
        <w:rPr>
          <w:b/>
        </w:rPr>
        <w:t xml:space="preserve"> barier i wąskich gardeł istniejących zapisów prawnych]</w:t>
      </w:r>
    </w:p>
    <w:p w14:paraId="34209E3C" w14:textId="42404F9A" w:rsidR="00897067" w:rsidRDefault="00263688" w:rsidP="00770507">
      <w:pPr>
        <w:ind w:firstLine="708"/>
      </w:pPr>
      <w:r>
        <w:t xml:space="preserve">Obowiązujące zapisy prawne ustawy o planowaniu i zagospodarowaniu przestrzennym, ze względu na brak właściwej precyzji, doprowadziły do znacznego wypaczenia idei wykorzystania decyzji o warunkach zabudowy (jako podstawy uzupełniania zabudowy) oraz – w praktyce – uczynienia zeń niemalże powszechnej podstawy planistycznej </w:t>
      </w:r>
      <w:r>
        <w:lastRenderedPageBreak/>
        <w:t xml:space="preserve">procesu inwestycyjno-budowlanego. </w:t>
      </w:r>
      <w:r w:rsidR="00770507">
        <w:t xml:space="preserve">Istotnym problem jest brak powiązania (zgodności) tego typu decyzji ze studium uwarunkowań i kierunków zagospodarowania przestrzennego gminy. </w:t>
      </w:r>
    </w:p>
    <w:p w14:paraId="08738D0C" w14:textId="1F11A35A" w:rsidR="0033543A" w:rsidRDefault="0033543A" w:rsidP="0033543A">
      <w:pPr>
        <w:ind w:firstLine="708"/>
      </w:pPr>
      <w:r w:rsidRPr="00FC0908">
        <w:rPr>
          <w:b/>
        </w:rPr>
        <w:t>[Charakterystyka działań szczegółowych oraz narzędzi interwencji]</w:t>
      </w:r>
    </w:p>
    <w:p w14:paraId="31048DFB" w14:textId="25D25375" w:rsidR="00066B1C" w:rsidRDefault="00606A74" w:rsidP="000D2A52">
      <w:pPr>
        <w:pStyle w:val="Akapitzlist"/>
        <w:numPr>
          <w:ilvl w:val="0"/>
          <w:numId w:val="24"/>
        </w:numPr>
        <w:ind w:left="714" w:hanging="357"/>
        <w:contextualSpacing w:val="0"/>
      </w:pPr>
      <w:r>
        <w:t xml:space="preserve">Doprecyzowanie warunków (zasad oraz zakresu) stosowania decyzji o warunkach zabudowy. Wprowadzenie i konsekwentne egzekwowanie zasady </w:t>
      </w:r>
      <w:r w:rsidR="00066B1C">
        <w:t xml:space="preserve">możliwości </w:t>
      </w:r>
      <w:r w:rsidR="00DB0217">
        <w:t xml:space="preserve">wydawania decyzji o warunkach zabudowy </w:t>
      </w:r>
      <w:r w:rsidR="00066B1C">
        <w:t>wyłącznie</w:t>
      </w:r>
      <w:r w:rsidR="00DB0217">
        <w:t xml:space="preserve"> w obszar</w:t>
      </w:r>
      <w:r w:rsidR="00066B1C">
        <w:t>ach</w:t>
      </w:r>
      <w:r w:rsidR="00DB0217">
        <w:t xml:space="preserve"> o w pełni wykształconej </w:t>
      </w:r>
      <w:r w:rsidR="00066B1C">
        <w:t xml:space="preserve">zwartej strukturze funkcjonalno-przestrzennej (tj. zgodnie z postulatem dążenia do planowania i lokalizowania nowej zabudowy w takich obszarach – wyrażonym w art. 1.4. ustawy o planowaniu i zagospodarowaniu przestrzennym). W tym celu należy zobligować gminy do określania tego obszaru (najlepiej na podstawie parametrów określonych w ustawie i doprecyzowanych w rozporządzeniu) w drodze aktu prawa miejscowego (na kształt uchwały o wyznaczeniu </w:t>
      </w:r>
      <w:r w:rsidR="00B21008">
        <w:t xml:space="preserve">obszaru zdegradowanego oraz obszaru rewitalizacji). Wówczas możliwe będzie powiązanie decyzji o warunkach zabudowy z prawem miejscowym. </w:t>
      </w:r>
    </w:p>
    <w:p w14:paraId="10D87497" w14:textId="27AC0450" w:rsidR="000D2A52" w:rsidRDefault="000D2A52" w:rsidP="000D2A52">
      <w:pPr>
        <w:pStyle w:val="Akapitzlist"/>
        <w:numPr>
          <w:ilvl w:val="0"/>
          <w:numId w:val="24"/>
        </w:numPr>
        <w:ind w:left="714" w:hanging="357"/>
        <w:contextualSpacing w:val="0"/>
      </w:pPr>
      <w:r>
        <w:t xml:space="preserve">Doprecyzowanie zasady dobrego sąsiedztwa i kontynuacji zabudowy w ramach procedury wydawania decyzji o warunkach zabudowy (zwłaszcza maksymalnego obszaru analizy). </w:t>
      </w:r>
    </w:p>
    <w:p w14:paraId="6A2D4728" w14:textId="5C5CBBEB" w:rsidR="00606A74" w:rsidRDefault="000D2A52" w:rsidP="00945623">
      <w:pPr>
        <w:pStyle w:val="Akapitzlist"/>
        <w:numPr>
          <w:ilvl w:val="0"/>
          <w:numId w:val="24"/>
        </w:numPr>
        <w:ind w:left="714" w:hanging="357"/>
        <w:contextualSpacing w:val="0"/>
      </w:pPr>
      <w:r>
        <w:t xml:space="preserve">Wprowadzenie okres ważności (nieprzekraczalnego okresu obowiązywania) decyzji o warunkach zabudowy. </w:t>
      </w:r>
    </w:p>
    <w:p w14:paraId="649C09A9" w14:textId="77777777" w:rsidR="0033543A" w:rsidRDefault="0033543A" w:rsidP="0033543A">
      <w:pPr>
        <w:ind w:firstLine="708"/>
      </w:pPr>
      <w:r w:rsidRPr="00FC0908">
        <w:rPr>
          <w:b/>
        </w:rPr>
        <w:t>[</w:t>
      </w:r>
      <w:r>
        <w:rPr>
          <w:b/>
        </w:rPr>
        <w:t>Grupy docelowe i adresaci rozwiązania</w:t>
      </w:r>
      <w:r w:rsidRPr="00FC0908">
        <w:rPr>
          <w:b/>
        </w:rPr>
        <w:t>]</w:t>
      </w:r>
    </w:p>
    <w:p w14:paraId="2B6299BB" w14:textId="7C857243" w:rsidR="00263688" w:rsidRPr="00263688" w:rsidRDefault="00263688" w:rsidP="000713F6">
      <w:pPr>
        <w:ind w:firstLine="708"/>
      </w:pPr>
      <w:r w:rsidRPr="00263688">
        <w:t xml:space="preserve">Podstawową grupą docelową rozwiązania są samorządy gmin (miast). </w:t>
      </w:r>
    </w:p>
    <w:p w14:paraId="343B2A21" w14:textId="6D7EAD8D" w:rsidR="000D7675" w:rsidRPr="003F38E2" w:rsidRDefault="000D7675" w:rsidP="003F38E2"/>
    <w:p w14:paraId="5DCC8960" w14:textId="0BF04824" w:rsidR="009A01C2" w:rsidRPr="003F38E2" w:rsidRDefault="004331B6" w:rsidP="003F38E2">
      <w:pPr>
        <w:pStyle w:val="Nagwek3"/>
      </w:pPr>
      <w:r w:rsidRPr="003F38E2">
        <w:t>Podmioty odpowiedzialne za realizację:</w:t>
      </w:r>
    </w:p>
    <w:p w14:paraId="2565DBE6" w14:textId="0EE32D80" w:rsidR="009A01C2" w:rsidRPr="0033543A" w:rsidRDefault="0033543A" w:rsidP="003F38E2">
      <w:r>
        <w:rPr>
          <w:b/>
        </w:rPr>
        <w:t>Ministerstwo Rozwoju, Pracy i Technologii (Departament Planowania Przestrzennego)</w:t>
      </w:r>
      <w:r>
        <w:t xml:space="preserve"> – jako podmiot wiodący.</w:t>
      </w:r>
    </w:p>
    <w:p w14:paraId="4E72DBB3" w14:textId="77777777" w:rsidR="0033543A" w:rsidRPr="003F38E2" w:rsidRDefault="0033543A" w:rsidP="003F38E2"/>
    <w:p w14:paraId="509BFD75" w14:textId="0CB7FAEE" w:rsidR="000D7675" w:rsidRPr="003F38E2" w:rsidRDefault="00D55F58" w:rsidP="003F38E2">
      <w:pPr>
        <w:pStyle w:val="Nagwek3"/>
      </w:pPr>
      <w:r w:rsidRPr="003F38E2">
        <w:t>Wstępny</w:t>
      </w:r>
      <w:r w:rsidR="006C579C" w:rsidRPr="003F38E2">
        <w:t xml:space="preserve"> harmonogram</w:t>
      </w:r>
      <w:r w:rsidR="0074203F" w:rsidRPr="003F38E2">
        <w:t xml:space="preserve"> i kamienie milowe</w:t>
      </w:r>
      <w:r w:rsidRPr="003F38E2">
        <w:t>:</w:t>
      </w:r>
    </w:p>
    <w:p w14:paraId="4FE321C3" w14:textId="3C22F72F" w:rsidR="00AF1E15" w:rsidRDefault="00AD553C" w:rsidP="00AD553C">
      <w:pPr>
        <w:pStyle w:val="Akapitzlist"/>
        <w:numPr>
          <w:ilvl w:val="0"/>
          <w:numId w:val="26"/>
        </w:numPr>
      </w:pPr>
      <w:r>
        <w:t xml:space="preserve">Doprecyzowanie warunków oraz przesłanek wydawania decyzji o warunkach zabudowy poprzez nowelizację ustawy o planowaniu i zagospodarowaniu przestrzennym: </w:t>
      </w:r>
      <w:r w:rsidRPr="00AD553C">
        <w:rPr>
          <w:b/>
        </w:rPr>
        <w:t>do końca 2021 r.</w:t>
      </w:r>
      <w:r>
        <w:t xml:space="preserve"> (ograniczenie stosowania takich decyzji w okresie przejściowym związanym z wejściem w życie reformy systemu planowania przestrzennego). </w:t>
      </w:r>
    </w:p>
    <w:p w14:paraId="51680E94" w14:textId="77777777" w:rsidR="00AD553C" w:rsidRPr="003F38E2" w:rsidRDefault="00AD553C" w:rsidP="003F38E2"/>
    <w:p w14:paraId="32AA4919" w14:textId="55211C56" w:rsidR="000945FE" w:rsidRPr="003F38E2" w:rsidRDefault="007F072F" w:rsidP="003F38E2">
      <w:pPr>
        <w:pStyle w:val="Nagwek3"/>
      </w:pPr>
      <w:r w:rsidRPr="003F38E2">
        <w:t>Priorytet</w:t>
      </w:r>
      <w:r w:rsidR="009B4B16" w:rsidRPr="003F38E2">
        <w:t xml:space="preserve">/istotność z punktu widzenia </w:t>
      </w:r>
      <w:r w:rsidR="004E7FA1" w:rsidRPr="003F38E2">
        <w:t>wpływu na wyzwanie/rozwiązanie problemu</w:t>
      </w:r>
      <w:r w:rsidR="00645634" w:rsidRPr="003F38E2">
        <w:t xml:space="preserve"> (oczekiwany efekt)</w:t>
      </w:r>
      <w:r w:rsidR="00DD7E62" w:rsidRPr="003F38E2">
        <w:t>:</w:t>
      </w:r>
    </w:p>
    <w:p w14:paraId="7C723A1C" w14:textId="39FC13FB" w:rsidR="000945FE" w:rsidRPr="00770507" w:rsidRDefault="00DA532B" w:rsidP="00DA532B">
      <w:pPr>
        <w:ind w:firstLine="708"/>
      </w:pPr>
      <w:r>
        <w:t>Ograniczenie możliwości stosowania decyzji o warunkach zabudowy ma istotne znaczenie dla kształtowania miasta zwarteg</w:t>
      </w:r>
      <w:bookmarkStart w:id="0" w:name="_GoBack"/>
      <w:bookmarkEnd w:id="0"/>
      <w:r>
        <w:t>o oraz przeciwdziałania niekontrolowane</w:t>
      </w:r>
      <w:r w:rsidR="00263688">
        <w:t xml:space="preserve">j i chaotycznej suburbanizacji. Powszechne stosowanie tego typu decyzji jako podstawy planistycznej procesu inwestycyjno-budowlanego (zwłaszcza w przypadku budownictwa mieszkaniowego) uznawane jest za jedną z kluczowych przyczyn niekontrolowanego rozpraszania zabudowy i chaosu przestrzennego. </w:t>
      </w:r>
      <w:r w:rsidR="00770507">
        <w:t xml:space="preserve">Oczekiwanym rezultatem ograniczenia możliwości stosowania decyzji o warunkach zabudowy jest zahamowanie dalszego chaotycznego rozlewania </w:t>
      </w:r>
      <w:r w:rsidR="00770507" w:rsidRPr="00770507">
        <w:t xml:space="preserve">zabudowy na obszary dotychczas niezurbanizowane i pozbawione dostępu do podstawowej infrastruktury technicznej i społecznej. </w:t>
      </w:r>
    </w:p>
    <w:p w14:paraId="42C52971" w14:textId="77777777" w:rsidR="00DA532B" w:rsidRPr="003F38E2" w:rsidRDefault="00DA532B" w:rsidP="003F38E2"/>
    <w:p w14:paraId="05BD24EE" w14:textId="21226022" w:rsidR="0059298A" w:rsidRPr="003F38E2" w:rsidRDefault="0059298A" w:rsidP="003F38E2">
      <w:pPr>
        <w:pStyle w:val="Nagwek3"/>
      </w:pPr>
      <w:r w:rsidRPr="003F38E2">
        <w:t xml:space="preserve">Odniesienia do </w:t>
      </w:r>
      <w:r w:rsidR="0059704F" w:rsidRPr="003F38E2">
        <w:t>diagnoz, dodatkowe materiały źródłowe</w:t>
      </w:r>
      <w:r w:rsidR="00F2007F" w:rsidRPr="003F38E2">
        <w:t>, li</w:t>
      </w:r>
      <w:r w:rsidR="00550111" w:rsidRPr="003F38E2">
        <w:t>teratura</w:t>
      </w:r>
      <w:r w:rsidR="0059704F" w:rsidRPr="003F38E2">
        <w:t>:</w:t>
      </w:r>
    </w:p>
    <w:p w14:paraId="14ACEDC7" w14:textId="7F86F0C1" w:rsidR="00D51144" w:rsidRDefault="00D51144" w:rsidP="00D51144">
      <w:pPr>
        <w:pStyle w:val="Akapitzlist"/>
        <w:numPr>
          <w:ilvl w:val="0"/>
          <w:numId w:val="26"/>
        </w:numPr>
        <w:ind w:left="714" w:hanging="357"/>
        <w:contextualSpacing w:val="0"/>
      </w:pPr>
      <w:r w:rsidRPr="00D51144">
        <w:t>Juchniewicz-Piotrowska</w:t>
      </w:r>
      <w:r>
        <w:t xml:space="preserve"> K., 2015, </w:t>
      </w:r>
      <w:r w:rsidRPr="00D51144">
        <w:rPr>
          <w:i/>
        </w:rPr>
        <w:t>Decyzja o warunkach zabudowy jako przyczyna braku ładu przestrzennego</w:t>
      </w:r>
      <w:r>
        <w:t>, Prace Naukowe Uniwersytetu Ekonomicznego we Wrocławiu, 391, s. 156–166.</w:t>
      </w:r>
    </w:p>
    <w:p w14:paraId="347B8D37" w14:textId="30E69CA0" w:rsidR="00E337AA" w:rsidRDefault="00E337AA" w:rsidP="00E337AA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lastRenderedPageBreak/>
        <w:t xml:space="preserve">Nowak M., 2012, </w:t>
      </w:r>
      <w:r w:rsidRPr="00E337AA">
        <w:rPr>
          <w:i/>
        </w:rPr>
        <w:t>Decyzje o warunkach zabudowy i zagospodarowania terenu – instrument czy wyłącznie bariera rozwoju?</w:t>
      </w:r>
      <w:r>
        <w:t>, Studia Regionalne i Lokalne, 2(48), s. 77–91.</w:t>
      </w:r>
    </w:p>
    <w:p w14:paraId="4D05CC65" w14:textId="0DDBEBAC" w:rsidR="008C6C2F" w:rsidRDefault="008C6C2F" w:rsidP="008C6C2F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 xml:space="preserve">Nowak M., 2015, </w:t>
      </w:r>
      <w:r w:rsidRPr="008C6C2F">
        <w:rPr>
          <w:i/>
        </w:rPr>
        <w:t>Nieefektywność decyzji o warunkach zabudowy i zagospodarowania terenu w kształtowaniu ładu przestrzennego a działania organów administracji publicznej</w:t>
      </w:r>
      <w:r>
        <w:t xml:space="preserve">, </w:t>
      </w:r>
      <w:r w:rsidRPr="008C6C2F">
        <w:t>Biuletyn Komitetu Przestrzennego Zagospodarowania Kraju PAN</w:t>
      </w:r>
      <w:r>
        <w:t>, 257–258, s. 46–57.</w:t>
      </w:r>
    </w:p>
    <w:p w14:paraId="3ECECE25" w14:textId="6777F50E" w:rsidR="00F77367" w:rsidRDefault="00650BC5" w:rsidP="008C6C2F">
      <w:pPr>
        <w:pStyle w:val="Akapitzlist"/>
        <w:numPr>
          <w:ilvl w:val="0"/>
          <w:numId w:val="26"/>
        </w:numPr>
        <w:ind w:left="714" w:hanging="357"/>
        <w:contextualSpacing w:val="0"/>
      </w:pPr>
      <w:r w:rsidRPr="00650BC5">
        <w:rPr>
          <w:i/>
        </w:rPr>
        <w:t>System gospodarowania przestrzenią gminy jako dobrem publicznym</w:t>
      </w:r>
      <w:r>
        <w:t xml:space="preserve">, 2016, informacja o wynikach kontroli Najwyższej Izby Kontroli (Departament Infrastruktury). Wśród najpoważniejszych skutków gospodarowania przestrzenią przez gminy na podstawie decyzji o warunkach zabudowy wymieniono: (1) możliwość realizacji inwestycji niezgodnie z ustaleniami studium gminnego, (2) zaspokajanie doraźnych potrzeb inwestycyjnych bez szerszego powiązania z lokalną polityką przestrzenną, (3) brak udziału lokalnej społeczności w ustalaniu sposób gospodarowania i korzystania z przestrzeni, (4) słabość uzgodnień mających chronić przed zabudową na terenach zalewowych i cennych przyrodniczo, (5) dezintegrację przestrzeni i niekontrolowaną ekspansję miast na obszary dotychczas niezabudowane (i związany z tym wzrost kosztów zapewnienia infrastruktury). </w:t>
      </w:r>
    </w:p>
    <w:p w14:paraId="31A33E62" w14:textId="21C9C5E5" w:rsidR="00E337AA" w:rsidRDefault="00E337AA" w:rsidP="003F38E2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 xml:space="preserve">Ziobrowski Z., 2010, </w:t>
      </w:r>
      <w:r w:rsidRPr="00E337AA">
        <w:rPr>
          <w:i/>
        </w:rPr>
        <w:t>Polityka przestrzenna a decyzje o warunkach zabudowy</w:t>
      </w:r>
      <w:r>
        <w:t>, Biuletyn Komitetu Przestrzennego Zagospodarowania Kraju PAN, 245.</w:t>
      </w:r>
    </w:p>
    <w:p w14:paraId="6088B59C" w14:textId="68079AF7" w:rsidR="00E337AA" w:rsidRPr="003F38E2" w:rsidRDefault="00E337AA" w:rsidP="003F38E2"/>
    <w:p w14:paraId="379BC40B" w14:textId="7E359917" w:rsidR="00A84AA2" w:rsidRPr="003F38E2" w:rsidRDefault="00A84AA2" w:rsidP="003F38E2">
      <w:pPr>
        <w:pStyle w:val="Nagwek3"/>
        <w:shd w:val="clear" w:color="auto" w:fill="FFFFFF" w:themeFill="background1"/>
      </w:pPr>
      <w:r w:rsidRPr="003F38E2">
        <w:t>Powiązane akty prawne</w:t>
      </w:r>
      <w:r w:rsidR="00154D56" w:rsidRPr="003F38E2">
        <w:t xml:space="preserve">, </w:t>
      </w:r>
      <w:r w:rsidR="00286A0A" w:rsidRPr="00CA71A8">
        <w:t>i</w:t>
      </w:r>
      <w:r w:rsidR="00154D56" w:rsidRPr="00CA71A8">
        <w:t>dentyfikacja obszaru prawnego wymagającego poprawy (odniesienie do istniejącego stanu prawnego)</w:t>
      </w:r>
      <w:r w:rsidRPr="00CA71A8">
        <w:t>:</w:t>
      </w:r>
    </w:p>
    <w:p w14:paraId="6C966458" w14:textId="36DFA0A1" w:rsidR="00550111" w:rsidRDefault="00AD553C" w:rsidP="00AD553C">
      <w:pPr>
        <w:pStyle w:val="Akapitzlist"/>
        <w:numPr>
          <w:ilvl w:val="0"/>
          <w:numId w:val="25"/>
        </w:numPr>
      </w:pPr>
      <w:r>
        <w:t xml:space="preserve">Ustawa z dnia 27 marca 2003 r. o planowaniu i zagospodarowaniu przestrzennym (Dz.U. 2003 Nr 80 poz 717 z późn. zm.) – doprecyzowanie warunków i przesłanek wydawania decyzji o warunkach zabudowy zgodnie z zakresem postulowanym w ramach charakterystyki działań szczegółowych. </w:t>
      </w:r>
    </w:p>
    <w:p w14:paraId="2B68671C" w14:textId="4C3424FB" w:rsidR="00AD553C" w:rsidRPr="003F38E2" w:rsidRDefault="00AD553C" w:rsidP="003F38E2"/>
    <w:p w14:paraId="4F656610" w14:textId="39E452C6" w:rsidR="00D434B2" w:rsidRPr="003F38E2" w:rsidRDefault="00D434B2" w:rsidP="003F38E2">
      <w:pPr>
        <w:pStyle w:val="Nagwek3"/>
      </w:pPr>
      <w:r w:rsidRPr="003F38E2">
        <w:t>Przykłady podobnych rozwiązań w innych krajach (jeśli znane)</w:t>
      </w:r>
    </w:p>
    <w:p w14:paraId="0E0A673B" w14:textId="2EBB216A" w:rsidR="00485014" w:rsidRDefault="00475177" w:rsidP="00C019AC">
      <w:r w:rsidRPr="003F38E2">
        <w:t>[…]</w:t>
      </w:r>
    </w:p>
    <w:sectPr w:rsidR="00485014" w:rsidSect="008C51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351B" w14:textId="77777777" w:rsidR="00F0235F" w:rsidRDefault="00F0235F" w:rsidP="005B177E">
      <w:r>
        <w:separator/>
      </w:r>
    </w:p>
  </w:endnote>
  <w:endnote w:type="continuationSeparator" w:id="0">
    <w:p w14:paraId="08D49BDC" w14:textId="77777777" w:rsidR="00F0235F" w:rsidRDefault="00F0235F" w:rsidP="005B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95798"/>
      <w:docPartObj>
        <w:docPartGallery w:val="Page Numbers (Bottom of Page)"/>
        <w:docPartUnique/>
      </w:docPartObj>
    </w:sdtPr>
    <w:sdtEndPr/>
    <w:sdtContent>
      <w:p w14:paraId="2FD735AB" w14:textId="04156801" w:rsidR="00850550" w:rsidRDefault="00850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33">
          <w:rPr>
            <w:noProof/>
          </w:rPr>
          <w:t>2</w:t>
        </w:r>
        <w:r>
          <w:fldChar w:fldCharType="end"/>
        </w:r>
      </w:p>
    </w:sdtContent>
  </w:sdt>
  <w:p w14:paraId="3513E2F5" w14:textId="77777777" w:rsidR="00850550" w:rsidRDefault="0085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FB8E" w14:textId="77777777" w:rsidR="00F0235F" w:rsidRDefault="00F0235F" w:rsidP="005B177E">
      <w:r>
        <w:separator/>
      </w:r>
    </w:p>
  </w:footnote>
  <w:footnote w:type="continuationSeparator" w:id="0">
    <w:p w14:paraId="4E86B5A2" w14:textId="77777777" w:rsidR="00F0235F" w:rsidRDefault="00F0235F" w:rsidP="005B177E">
      <w:r>
        <w:continuationSeparator/>
      </w:r>
    </w:p>
  </w:footnote>
  <w:footnote w:id="1">
    <w:p w14:paraId="4D2CAEC6" w14:textId="77777777" w:rsidR="00C377DE" w:rsidRPr="006E0806" w:rsidRDefault="00C377DE" w:rsidP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806">
        <w:t xml:space="preserve">a) Rozwiązania w zakresie regulacji prawnych, administracyjnych itd. </w:t>
      </w:r>
    </w:p>
    <w:p w14:paraId="4639B9E5" w14:textId="77777777" w:rsidR="00C377DE" w:rsidRPr="006E0806" w:rsidRDefault="00C377DE" w:rsidP="00C377DE">
      <w:pPr>
        <w:pStyle w:val="Tekstprzypisudolnego"/>
      </w:pPr>
      <w:r w:rsidRPr="006E0806">
        <w:t>b) Rozwiązania w zakresie finansowania i programów funduszowych</w:t>
      </w:r>
    </w:p>
    <w:p w14:paraId="2F9D6979" w14:textId="77777777" w:rsidR="00C377DE" w:rsidRPr="006E0806" w:rsidRDefault="00C377DE" w:rsidP="00C377DE">
      <w:pPr>
        <w:pStyle w:val="Tekstprzypisudolnego"/>
      </w:pPr>
      <w:r w:rsidRPr="006E0806">
        <w:t>c) Dedykowane programy krajowe</w:t>
      </w:r>
    </w:p>
    <w:p w14:paraId="44E41448" w14:textId="0B453719" w:rsidR="00C377DE" w:rsidRPr="006E0806" w:rsidRDefault="00C377DE" w:rsidP="00C377DE">
      <w:pPr>
        <w:pStyle w:val="Tekstprzypisudolnego"/>
      </w:pPr>
      <w:r w:rsidRPr="006E0806">
        <w:t xml:space="preserve">d) </w:t>
      </w:r>
      <w:r w:rsidR="00AB3938">
        <w:t>Wzmacnianie know-how</w:t>
      </w:r>
      <w:r w:rsidR="00AE0F32">
        <w:t xml:space="preserve">: </w:t>
      </w:r>
      <w:r w:rsidRPr="006E0806">
        <w:t>Rekomendacje, zalecenia, standardy, dobre praktyki, wymiana doświadczeń, szkolenia, pilotaże</w:t>
      </w:r>
      <w:r w:rsidR="00AE0F32">
        <w:t>, programy współpracy</w:t>
      </w:r>
      <w:r w:rsidRPr="006E0806">
        <w:t xml:space="preserve"> itd.</w:t>
      </w:r>
    </w:p>
    <w:p w14:paraId="7CEAF960" w14:textId="77777777" w:rsidR="00C377DE" w:rsidRPr="006E0806" w:rsidRDefault="00C377DE" w:rsidP="00C377DE">
      <w:pPr>
        <w:pStyle w:val="Tekstprzypisudolnego"/>
      </w:pPr>
      <w:r w:rsidRPr="006E0806">
        <w:t xml:space="preserve">e) Dostosowywanie działań, inwestycji realizowanych przez inne zależne od rządu podmioty krajowe </w:t>
      </w:r>
    </w:p>
    <w:p w14:paraId="599CEDDF" w14:textId="479C1ABE" w:rsidR="00C377DE" w:rsidRDefault="00C377DE" w:rsidP="00C377DE">
      <w:pPr>
        <w:pStyle w:val="Tekstprzypisudolnego"/>
      </w:pPr>
      <w:r w:rsidRPr="006E0806">
        <w:t>f) Inne</w:t>
      </w:r>
    </w:p>
  </w:footnote>
  <w:footnote w:id="2">
    <w:p w14:paraId="0ED09298" w14:textId="7631D5AF" w:rsidR="00C377DE" w:rsidRDefault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7FEB">
        <w:t>A</w:t>
      </w:r>
      <w:r w:rsidR="00AE0F32">
        <w:t xml:space="preserve"> </w:t>
      </w:r>
      <w:r w:rsidR="00684BDA">
        <w:t>–</w:t>
      </w:r>
      <w:r w:rsidR="00AE0F32">
        <w:t xml:space="preserve"> </w:t>
      </w:r>
      <w:r w:rsidR="00684BDA">
        <w:t xml:space="preserve">Regulacje prawne; B – Mechanizmy finansowania; C </w:t>
      </w:r>
      <w:r w:rsidR="00716B79">
        <w:t>–</w:t>
      </w:r>
      <w:r w:rsidR="00684BDA">
        <w:t xml:space="preserve"> </w:t>
      </w:r>
      <w:r w:rsidR="00716B79">
        <w:t>Wzmacnianie wiedzy i współpracy</w:t>
      </w:r>
    </w:p>
  </w:footnote>
  <w:footnote w:id="3">
    <w:p w14:paraId="62FAB205" w14:textId="77B9B357" w:rsidR="00CA3D2D" w:rsidRDefault="00CA3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855F2">
        <w:t>Znaki ze spacjami – podane wartości dotyczą</w:t>
      </w:r>
      <w:r w:rsidR="007252E4">
        <w:t xml:space="preserve"> maksymalnej objętości opisu – orientacyjnie.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FF62" w14:textId="4CDED733" w:rsidR="00AF1E15" w:rsidRPr="00B036C4" w:rsidRDefault="00D33BFB" w:rsidP="005B177E">
    <w:pPr>
      <w:rPr>
        <w:b/>
        <w:bCs/>
      </w:rPr>
    </w:pP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FBC68F1" wp14:editId="15546732">
          <wp:simplePos x="0" y="0"/>
          <wp:positionH relativeFrom="margin">
            <wp:posOffset>3032760</wp:posOffset>
          </wp:positionH>
          <wp:positionV relativeFrom="margin">
            <wp:posOffset>-598170</wp:posOffset>
          </wp:positionV>
          <wp:extent cx="1581150" cy="471805"/>
          <wp:effectExtent l="0" t="0" r="0" b="4445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6C4"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3DEAEE6" wp14:editId="62079E83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074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5A5" w:rsidRPr="00B036C4">
      <w:rPr>
        <w:b/>
        <w:bCs/>
        <w:sz w:val="28"/>
        <w:szCs w:val="28"/>
      </w:rPr>
      <w:t>KRAJOWA POLITYKA MIEJSKA 2030</w:t>
    </w:r>
    <w:r w:rsidR="00592A86" w:rsidRPr="00B036C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2B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81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E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46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4F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D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0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1080"/>
    <w:multiLevelType w:val="hybridMultilevel"/>
    <w:tmpl w:val="F68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3382A"/>
    <w:multiLevelType w:val="hybridMultilevel"/>
    <w:tmpl w:val="D696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35665E"/>
    <w:multiLevelType w:val="hybridMultilevel"/>
    <w:tmpl w:val="65DC1264"/>
    <w:lvl w:ilvl="0" w:tplc="54965814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7C266D"/>
    <w:multiLevelType w:val="hybridMultilevel"/>
    <w:tmpl w:val="BFD4B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1208E"/>
    <w:multiLevelType w:val="hybridMultilevel"/>
    <w:tmpl w:val="1D16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132EF"/>
    <w:multiLevelType w:val="hybridMultilevel"/>
    <w:tmpl w:val="DD3A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1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1"/>
  </w:num>
  <w:num w:numId="23">
    <w:abstractNumId w:val="22"/>
  </w:num>
  <w:num w:numId="24">
    <w:abstractNumId w:val="13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5"/>
    <w:rsid w:val="00001362"/>
    <w:rsid w:val="00013DAD"/>
    <w:rsid w:val="00023521"/>
    <w:rsid w:val="00066B1C"/>
    <w:rsid w:val="000713F6"/>
    <w:rsid w:val="000721CA"/>
    <w:rsid w:val="000945FE"/>
    <w:rsid w:val="000D2A52"/>
    <w:rsid w:val="000D420F"/>
    <w:rsid w:val="000D547F"/>
    <w:rsid w:val="000D7675"/>
    <w:rsid w:val="00112861"/>
    <w:rsid w:val="001530ED"/>
    <w:rsid w:val="00153A61"/>
    <w:rsid w:val="00154D56"/>
    <w:rsid w:val="00157FC0"/>
    <w:rsid w:val="0016068B"/>
    <w:rsid w:val="00176B1E"/>
    <w:rsid w:val="001830ED"/>
    <w:rsid w:val="0018773C"/>
    <w:rsid w:val="0019211A"/>
    <w:rsid w:val="001A0D63"/>
    <w:rsid w:val="001A74DF"/>
    <w:rsid w:val="001B2BF3"/>
    <w:rsid w:val="001D087C"/>
    <w:rsid w:val="001D456D"/>
    <w:rsid w:val="001E1C94"/>
    <w:rsid w:val="0021518E"/>
    <w:rsid w:val="00215AEB"/>
    <w:rsid w:val="00263688"/>
    <w:rsid w:val="00277A9F"/>
    <w:rsid w:val="00285A78"/>
    <w:rsid w:val="00286A0A"/>
    <w:rsid w:val="002A07C2"/>
    <w:rsid w:val="002D0C84"/>
    <w:rsid w:val="002D5AAF"/>
    <w:rsid w:val="002D71FD"/>
    <w:rsid w:val="002E18F7"/>
    <w:rsid w:val="002E6FAA"/>
    <w:rsid w:val="002F3DED"/>
    <w:rsid w:val="002F6309"/>
    <w:rsid w:val="003109A0"/>
    <w:rsid w:val="00314BB5"/>
    <w:rsid w:val="0033543A"/>
    <w:rsid w:val="00353F0C"/>
    <w:rsid w:val="0036478D"/>
    <w:rsid w:val="00374478"/>
    <w:rsid w:val="00376922"/>
    <w:rsid w:val="00395054"/>
    <w:rsid w:val="003F38E2"/>
    <w:rsid w:val="00402545"/>
    <w:rsid w:val="00404429"/>
    <w:rsid w:val="004253C9"/>
    <w:rsid w:val="004331B6"/>
    <w:rsid w:val="00461845"/>
    <w:rsid w:val="004632BF"/>
    <w:rsid w:val="00471AAC"/>
    <w:rsid w:val="00475177"/>
    <w:rsid w:val="00485014"/>
    <w:rsid w:val="004B672F"/>
    <w:rsid w:val="004C4527"/>
    <w:rsid w:val="004C5BC3"/>
    <w:rsid w:val="004D7ADE"/>
    <w:rsid w:val="004E7FA1"/>
    <w:rsid w:val="00534B77"/>
    <w:rsid w:val="00541D18"/>
    <w:rsid w:val="00550111"/>
    <w:rsid w:val="00560733"/>
    <w:rsid w:val="0058246C"/>
    <w:rsid w:val="005855F2"/>
    <w:rsid w:val="0059298A"/>
    <w:rsid w:val="00592A86"/>
    <w:rsid w:val="0059704F"/>
    <w:rsid w:val="005B177E"/>
    <w:rsid w:val="005D264D"/>
    <w:rsid w:val="005F1DA6"/>
    <w:rsid w:val="005F31E1"/>
    <w:rsid w:val="005F6A87"/>
    <w:rsid w:val="00606A74"/>
    <w:rsid w:val="006157DD"/>
    <w:rsid w:val="00617D0B"/>
    <w:rsid w:val="00645634"/>
    <w:rsid w:val="00650BC5"/>
    <w:rsid w:val="0065444A"/>
    <w:rsid w:val="00663778"/>
    <w:rsid w:val="00663BE7"/>
    <w:rsid w:val="00663C03"/>
    <w:rsid w:val="00663CD8"/>
    <w:rsid w:val="0068384C"/>
    <w:rsid w:val="00684BDA"/>
    <w:rsid w:val="006A08DA"/>
    <w:rsid w:val="006A1A76"/>
    <w:rsid w:val="006A35FD"/>
    <w:rsid w:val="006A750E"/>
    <w:rsid w:val="006C4B1B"/>
    <w:rsid w:val="006C579C"/>
    <w:rsid w:val="006E0806"/>
    <w:rsid w:val="00716B79"/>
    <w:rsid w:val="007252E4"/>
    <w:rsid w:val="00735489"/>
    <w:rsid w:val="00735FE5"/>
    <w:rsid w:val="00736D9F"/>
    <w:rsid w:val="0074203F"/>
    <w:rsid w:val="00744861"/>
    <w:rsid w:val="00752A84"/>
    <w:rsid w:val="00770507"/>
    <w:rsid w:val="00775AEC"/>
    <w:rsid w:val="00793266"/>
    <w:rsid w:val="007A01C6"/>
    <w:rsid w:val="007A3029"/>
    <w:rsid w:val="007E163D"/>
    <w:rsid w:val="007F072F"/>
    <w:rsid w:val="007F2B23"/>
    <w:rsid w:val="00825DA6"/>
    <w:rsid w:val="00825E13"/>
    <w:rsid w:val="00845C70"/>
    <w:rsid w:val="00850550"/>
    <w:rsid w:val="0085774C"/>
    <w:rsid w:val="00861C05"/>
    <w:rsid w:val="008846A1"/>
    <w:rsid w:val="00893AEE"/>
    <w:rsid w:val="00897067"/>
    <w:rsid w:val="00897B3B"/>
    <w:rsid w:val="008A442A"/>
    <w:rsid w:val="008C5124"/>
    <w:rsid w:val="008C6C2F"/>
    <w:rsid w:val="008D0B01"/>
    <w:rsid w:val="009124FD"/>
    <w:rsid w:val="00935617"/>
    <w:rsid w:val="009425A5"/>
    <w:rsid w:val="00942BD2"/>
    <w:rsid w:val="00944C6D"/>
    <w:rsid w:val="00945623"/>
    <w:rsid w:val="009A01C2"/>
    <w:rsid w:val="009B4B16"/>
    <w:rsid w:val="009B5D31"/>
    <w:rsid w:val="009B69F9"/>
    <w:rsid w:val="00A36A21"/>
    <w:rsid w:val="00A417B6"/>
    <w:rsid w:val="00A64A9C"/>
    <w:rsid w:val="00A71FA1"/>
    <w:rsid w:val="00A72DF4"/>
    <w:rsid w:val="00A77407"/>
    <w:rsid w:val="00A840BA"/>
    <w:rsid w:val="00A84AA2"/>
    <w:rsid w:val="00A936B0"/>
    <w:rsid w:val="00A9431B"/>
    <w:rsid w:val="00AB3938"/>
    <w:rsid w:val="00AB7B3E"/>
    <w:rsid w:val="00AD0FCA"/>
    <w:rsid w:val="00AD553C"/>
    <w:rsid w:val="00AE0F32"/>
    <w:rsid w:val="00AF1E15"/>
    <w:rsid w:val="00B036C4"/>
    <w:rsid w:val="00B07DC2"/>
    <w:rsid w:val="00B07FEB"/>
    <w:rsid w:val="00B123AC"/>
    <w:rsid w:val="00B21008"/>
    <w:rsid w:val="00B23E89"/>
    <w:rsid w:val="00B32F33"/>
    <w:rsid w:val="00B349F8"/>
    <w:rsid w:val="00B43002"/>
    <w:rsid w:val="00B97DBA"/>
    <w:rsid w:val="00BA5384"/>
    <w:rsid w:val="00BC7C98"/>
    <w:rsid w:val="00BD7AD0"/>
    <w:rsid w:val="00BE5886"/>
    <w:rsid w:val="00C019AC"/>
    <w:rsid w:val="00C22757"/>
    <w:rsid w:val="00C377DE"/>
    <w:rsid w:val="00C40B47"/>
    <w:rsid w:val="00C71B9E"/>
    <w:rsid w:val="00CA220D"/>
    <w:rsid w:val="00CA288F"/>
    <w:rsid w:val="00CA3D2D"/>
    <w:rsid w:val="00CA5516"/>
    <w:rsid w:val="00CA71A8"/>
    <w:rsid w:val="00CB5D85"/>
    <w:rsid w:val="00CB7909"/>
    <w:rsid w:val="00D012E8"/>
    <w:rsid w:val="00D17041"/>
    <w:rsid w:val="00D33BFB"/>
    <w:rsid w:val="00D434B2"/>
    <w:rsid w:val="00D51144"/>
    <w:rsid w:val="00D51922"/>
    <w:rsid w:val="00D543AC"/>
    <w:rsid w:val="00D55F58"/>
    <w:rsid w:val="00D63AC0"/>
    <w:rsid w:val="00D72919"/>
    <w:rsid w:val="00D7341B"/>
    <w:rsid w:val="00D96024"/>
    <w:rsid w:val="00DA2349"/>
    <w:rsid w:val="00DA532B"/>
    <w:rsid w:val="00DB0217"/>
    <w:rsid w:val="00DB5C21"/>
    <w:rsid w:val="00DB7F37"/>
    <w:rsid w:val="00DD54BF"/>
    <w:rsid w:val="00DD66F7"/>
    <w:rsid w:val="00DD7E62"/>
    <w:rsid w:val="00DF5142"/>
    <w:rsid w:val="00DF5F2D"/>
    <w:rsid w:val="00DF651B"/>
    <w:rsid w:val="00E337AA"/>
    <w:rsid w:val="00E46B27"/>
    <w:rsid w:val="00E712DD"/>
    <w:rsid w:val="00E77061"/>
    <w:rsid w:val="00E80FE0"/>
    <w:rsid w:val="00EB1E98"/>
    <w:rsid w:val="00EC3F3C"/>
    <w:rsid w:val="00EE1A5C"/>
    <w:rsid w:val="00EE29AD"/>
    <w:rsid w:val="00EF3B9F"/>
    <w:rsid w:val="00F0235F"/>
    <w:rsid w:val="00F034E8"/>
    <w:rsid w:val="00F05E06"/>
    <w:rsid w:val="00F11A5E"/>
    <w:rsid w:val="00F16015"/>
    <w:rsid w:val="00F2007F"/>
    <w:rsid w:val="00F25FB3"/>
    <w:rsid w:val="00F323EC"/>
    <w:rsid w:val="00F4463F"/>
    <w:rsid w:val="00F518CE"/>
    <w:rsid w:val="00F52D78"/>
    <w:rsid w:val="00F5360A"/>
    <w:rsid w:val="00F74F7C"/>
    <w:rsid w:val="00F75E65"/>
    <w:rsid w:val="00F77367"/>
    <w:rsid w:val="00F84A7C"/>
    <w:rsid w:val="00F90925"/>
    <w:rsid w:val="00F94214"/>
    <w:rsid w:val="00F95418"/>
    <w:rsid w:val="00F95718"/>
    <w:rsid w:val="00FB0B3C"/>
    <w:rsid w:val="00FB69A9"/>
    <w:rsid w:val="00FC0E76"/>
    <w:rsid w:val="00FD6312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95C5D"/>
  <w15:docId w15:val="{F67077F7-1A0C-49BB-AB16-DF49AB3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7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1"/>
      </w:numPr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E15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15"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15"/>
  </w:style>
  <w:style w:type="character" w:customStyle="1" w:styleId="Nagwek3Znak">
    <w:name w:val="Nagłówek 3 Znak"/>
    <w:basedOn w:val="Domylnaczcionkaakapitu"/>
    <w:link w:val="Nagwek3"/>
    <w:uiPriority w:val="9"/>
    <w:rsid w:val="00F25FB3"/>
    <w:rPr>
      <w:b/>
      <w:bCs/>
      <w:color w:val="ED7D31" w:themeColor="accent2"/>
    </w:rPr>
  </w:style>
  <w:style w:type="table" w:styleId="Tabela-Siatka">
    <w:name w:val="Table Grid"/>
    <w:basedOn w:val="Standardowy"/>
    <w:uiPriority w:val="39"/>
    <w:rsid w:val="00F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5124"/>
    <w:rPr>
      <w:color w:val="808080"/>
    </w:rPr>
  </w:style>
  <w:style w:type="character" w:styleId="Hipercze">
    <w:name w:val="Hyperlink"/>
    <w:uiPriority w:val="99"/>
    <w:unhideWhenUsed/>
    <w:rsid w:val="004D7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D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08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2" ma:contentTypeDescription="Utwórz nowy dokument." ma:contentTypeScope="" ma:versionID="7fca2d4563b216d1fe8990182c20c8fb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0bf2a1fb99e7d3194ca255df7fca5af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6BAB-7D85-4E0F-9AE3-A1010104D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38FE0-3858-441A-BC02-5C6EE859E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9F5E6-6BC5-4DEA-869D-62BCE6B5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Janas</dc:creator>
  <cp:lastModifiedBy>Lukasz Sykala</cp:lastModifiedBy>
  <cp:revision>45</cp:revision>
  <dcterms:created xsi:type="dcterms:W3CDTF">2021-03-11T13:18:00Z</dcterms:created>
  <dcterms:modified xsi:type="dcterms:W3CDTF">2021-05-21T11:59:00Z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