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50E71" w14:textId="59E02571" w:rsidR="00AF1E15" w:rsidRPr="00B036C4" w:rsidRDefault="00AF1E15" w:rsidP="005B177E">
      <w:pPr>
        <w:pStyle w:val="Nagwek1"/>
      </w:pPr>
      <w:r w:rsidRPr="00B036C4">
        <w:t xml:space="preserve">KARTA </w:t>
      </w:r>
      <w:r w:rsidR="00D51922">
        <w:t>ROZWIĄZANIA</w:t>
      </w:r>
      <w:r w:rsidR="00E712DD">
        <w:t>: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5977"/>
      </w:tblGrid>
      <w:tr w:rsidR="00F90925" w:rsidRPr="00F90925" w14:paraId="7821764E" w14:textId="41E2E028" w:rsidTr="00CB14E5">
        <w:tc>
          <w:tcPr>
            <w:tcW w:w="3085" w:type="dxa"/>
          </w:tcPr>
          <w:p w14:paraId="39BF3A04" w14:textId="77777777" w:rsidR="00F90925" w:rsidRPr="00F90925" w:rsidRDefault="00F90925" w:rsidP="00181521">
            <w:r w:rsidRPr="00F90925">
              <w:t xml:space="preserve">ID: </w:t>
            </w:r>
          </w:p>
        </w:tc>
        <w:tc>
          <w:tcPr>
            <w:tcW w:w="5977" w:type="dxa"/>
            <w:vAlign w:val="center"/>
          </w:tcPr>
          <w:p w14:paraId="37BE3C1E" w14:textId="264B3A7A" w:rsidR="00F90925" w:rsidRPr="00CB14E5" w:rsidRDefault="00F22919" w:rsidP="00CB14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P.01.6</w:t>
            </w:r>
          </w:p>
        </w:tc>
      </w:tr>
      <w:tr w:rsidR="009B69F9" w:rsidRPr="00F90925" w14:paraId="617B7578" w14:textId="77777777" w:rsidTr="00CB14E5">
        <w:tc>
          <w:tcPr>
            <w:tcW w:w="3085" w:type="dxa"/>
          </w:tcPr>
          <w:p w14:paraId="2994B589" w14:textId="65235045" w:rsidR="009B69F9" w:rsidRPr="00F90925" w:rsidRDefault="00560733" w:rsidP="00181521">
            <w:r>
              <w:t>Typ instrumentarium</w:t>
            </w:r>
            <w:r w:rsidR="009B69F9">
              <w:t xml:space="preserve"> (a do f)</w:t>
            </w:r>
            <w:r w:rsidR="00C377DE" w:rsidRPr="00C377DE">
              <w:rPr>
                <w:rStyle w:val="Odwoanieprzypisudolnego"/>
              </w:rPr>
              <w:t xml:space="preserve"> </w:t>
            </w:r>
            <w:r w:rsidR="00C377DE" w:rsidRPr="00C377DE">
              <w:rPr>
                <w:rStyle w:val="Odwoanieprzypisudolnego"/>
              </w:rPr>
              <w:footnoteReference w:id="1"/>
            </w:r>
          </w:p>
        </w:tc>
        <w:tc>
          <w:tcPr>
            <w:tcW w:w="5977" w:type="dxa"/>
            <w:vAlign w:val="center"/>
          </w:tcPr>
          <w:p w14:paraId="49050AC8" w14:textId="0FD53E05" w:rsidR="009B69F9" w:rsidRPr="00CB14E5" w:rsidRDefault="00FC4E63" w:rsidP="00FC4E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</w:t>
            </w:r>
            <w:r w:rsidRPr="00FC4E63">
              <w:rPr>
                <w:sz w:val="20"/>
                <w:szCs w:val="20"/>
              </w:rPr>
              <w:t>ozwiązania w zakresie regulacji prawnych, administracyjnych itd.</w:t>
            </w:r>
          </w:p>
        </w:tc>
      </w:tr>
      <w:tr w:rsidR="00663CD8" w:rsidRPr="003F38E2" w14:paraId="6ABDC081" w14:textId="77777777" w:rsidTr="00CB14E5">
        <w:tc>
          <w:tcPr>
            <w:tcW w:w="3085" w:type="dxa"/>
          </w:tcPr>
          <w:p w14:paraId="452B137C" w14:textId="6DEE5C8D" w:rsidR="00663CD8" w:rsidRPr="003F38E2" w:rsidRDefault="00EC3F3C" w:rsidP="003F38E2">
            <w:r w:rsidRPr="003F38E2">
              <w:t>Kategoria rozwiązania</w:t>
            </w:r>
            <w:r w:rsidR="00663CD8" w:rsidRPr="003F38E2">
              <w:t xml:space="preserve"> </w:t>
            </w:r>
            <w:r w:rsidR="00EE1A5C" w:rsidRPr="003F38E2">
              <w:t>(</w:t>
            </w:r>
            <w:r w:rsidR="00B07FEB" w:rsidRPr="003F38E2">
              <w:t>A</w:t>
            </w:r>
            <w:r w:rsidR="00EE1A5C" w:rsidRPr="003F38E2">
              <w:t xml:space="preserve"> do </w:t>
            </w:r>
            <w:r w:rsidR="00B07FEB" w:rsidRPr="003F38E2">
              <w:t>C</w:t>
            </w:r>
            <w:r w:rsidR="00EE1A5C" w:rsidRPr="003F38E2">
              <w:t>)</w:t>
            </w:r>
            <w:r w:rsidR="00C377DE" w:rsidRPr="003F38E2">
              <w:rPr>
                <w:rStyle w:val="Odwoanieprzypisudolnego"/>
              </w:rPr>
              <w:footnoteReference w:id="2"/>
            </w:r>
          </w:p>
        </w:tc>
        <w:tc>
          <w:tcPr>
            <w:tcW w:w="5977" w:type="dxa"/>
            <w:vAlign w:val="center"/>
          </w:tcPr>
          <w:p w14:paraId="20976300" w14:textId="2652DC62" w:rsidR="00663CD8" w:rsidRPr="00CB14E5" w:rsidRDefault="00FC4E63" w:rsidP="00CB14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regulacje prawne</w:t>
            </w:r>
          </w:p>
        </w:tc>
      </w:tr>
      <w:tr w:rsidR="00F90925" w:rsidRPr="003F38E2" w14:paraId="2A80D9C8" w14:textId="18233799" w:rsidTr="00CB14E5">
        <w:tc>
          <w:tcPr>
            <w:tcW w:w="3085" w:type="dxa"/>
          </w:tcPr>
          <w:p w14:paraId="36C479C9" w14:textId="77777777" w:rsidR="00F90925" w:rsidRPr="003F38E2" w:rsidRDefault="00F90925" w:rsidP="003F38E2">
            <w:r w:rsidRPr="003F38E2">
              <w:t xml:space="preserve">Data aktualizacji wpisu: </w:t>
            </w:r>
          </w:p>
        </w:tc>
        <w:tc>
          <w:tcPr>
            <w:tcW w:w="5977" w:type="dxa"/>
            <w:vAlign w:val="center"/>
          </w:tcPr>
          <w:p w14:paraId="1A189DDC" w14:textId="541DD726" w:rsidR="00F90925" w:rsidRPr="00CB14E5" w:rsidRDefault="00B87DFA" w:rsidP="00CB14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C4E63">
              <w:rPr>
                <w:sz w:val="20"/>
                <w:szCs w:val="20"/>
              </w:rPr>
              <w:t>.05.2021</w:t>
            </w:r>
          </w:p>
        </w:tc>
      </w:tr>
      <w:tr w:rsidR="007F2B23" w:rsidRPr="003F38E2" w14:paraId="6028DB43" w14:textId="77777777" w:rsidTr="00CB14E5">
        <w:tc>
          <w:tcPr>
            <w:tcW w:w="3085" w:type="dxa"/>
          </w:tcPr>
          <w:p w14:paraId="4A45FCE0" w14:textId="65E4B927" w:rsidR="007F2B23" w:rsidRPr="003F38E2" w:rsidRDefault="00D543AC" w:rsidP="003F38E2">
            <w:pPr>
              <w:jc w:val="left"/>
            </w:pPr>
            <w:r w:rsidRPr="003F38E2">
              <w:t>ID i nazwa wyzwania, którego dotyczy proponowane rozwiązanie:</w:t>
            </w:r>
          </w:p>
        </w:tc>
        <w:tc>
          <w:tcPr>
            <w:tcW w:w="5977" w:type="dxa"/>
            <w:vAlign w:val="center"/>
          </w:tcPr>
          <w:p w14:paraId="7A030021" w14:textId="64A8C75D" w:rsidR="007F2B23" w:rsidRPr="00CB14E5" w:rsidRDefault="00FC4E63" w:rsidP="00CB14E5">
            <w:pPr>
              <w:jc w:val="left"/>
              <w:rPr>
                <w:sz w:val="20"/>
                <w:szCs w:val="20"/>
              </w:rPr>
            </w:pPr>
            <w:r w:rsidRPr="00FC4E63">
              <w:rPr>
                <w:sz w:val="20"/>
                <w:szCs w:val="20"/>
              </w:rPr>
              <w:t>P.01. Kształtowanie miasta zwartego oraz przeciwdziałanie chaotycznej i niekontrolowanej suburbanizacji</w:t>
            </w:r>
          </w:p>
        </w:tc>
      </w:tr>
      <w:tr w:rsidR="00F90925" w:rsidRPr="003F38E2" w14:paraId="3617DFE9" w14:textId="361884C3" w:rsidTr="00CB14E5">
        <w:tc>
          <w:tcPr>
            <w:tcW w:w="3085" w:type="dxa"/>
          </w:tcPr>
          <w:p w14:paraId="2C2F8541" w14:textId="77777777" w:rsidR="00F90925" w:rsidRPr="003F38E2" w:rsidRDefault="00F90925" w:rsidP="003F38E2">
            <w:r w:rsidRPr="003F38E2">
              <w:t xml:space="preserve">Autorzy: </w:t>
            </w:r>
          </w:p>
        </w:tc>
        <w:tc>
          <w:tcPr>
            <w:tcW w:w="5977" w:type="dxa"/>
            <w:vAlign w:val="center"/>
          </w:tcPr>
          <w:p w14:paraId="65A9F0CC" w14:textId="04A2B1A4" w:rsidR="00F90925" w:rsidRPr="00CB14E5" w:rsidRDefault="00CB14E5" w:rsidP="00CB14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ekspercka ds. kształtowania przestrzeni</w:t>
            </w:r>
          </w:p>
        </w:tc>
      </w:tr>
      <w:tr w:rsidR="00F90925" w:rsidRPr="003F38E2" w14:paraId="0C688C6B" w14:textId="0E15D1CB" w:rsidTr="00CB14E5">
        <w:tc>
          <w:tcPr>
            <w:tcW w:w="3085" w:type="dxa"/>
            <w:tcBorders>
              <w:bottom w:val="single" w:sz="4" w:space="0" w:color="auto"/>
            </w:tcBorders>
          </w:tcPr>
          <w:p w14:paraId="4CF5CA8E" w14:textId="77777777" w:rsidR="00F90925" w:rsidRPr="003F38E2" w:rsidRDefault="00F90925" w:rsidP="003F38E2">
            <w:r w:rsidRPr="003F38E2">
              <w:t>Grupa ekspercka: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center"/>
          </w:tcPr>
          <w:p w14:paraId="761E1D01" w14:textId="04FBCE51" w:rsidR="00F90925" w:rsidRPr="00CB14E5" w:rsidRDefault="00CB14E5" w:rsidP="00CB14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ekspercka ds. kształtowania przestrzeni</w:t>
            </w:r>
          </w:p>
        </w:tc>
      </w:tr>
      <w:tr w:rsidR="00F323EC" w:rsidRPr="003F38E2" w14:paraId="796229EB" w14:textId="77777777" w:rsidTr="00B07FEB"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14:paraId="167C3C17" w14:textId="77777777" w:rsidR="00F323EC" w:rsidRPr="003F38E2" w:rsidRDefault="00F323EC" w:rsidP="003F38E2"/>
        </w:tc>
        <w:tc>
          <w:tcPr>
            <w:tcW w:w="5977" w:type="dxa"/>
            <w:tcBorders>
              <w:left w:val="nil"/>
              <w:bottom w:val="nil"/>
              <w:right w:val="nil"/>
            </w:tcBorders>
          </w:tcPr>
          <w:p w14:paraId="3719F1E8" w14:textId="77777777" w:rsidR="00F323EC" w:rsidRPr="003F38E2" w:rsidRDefault="00F323EC" w:rsidP="003F38E2"/>
        </w:tc>
      </w:tr>
    </w:tbl>
    <w:p w14:paraId="01F88FF4" w14:textId="25A7C6CB" w:rsidR="00AF1E15" w:rsidRPr="003F38E2" w:rsidRDefault="00AF1E15" w:rsidP="003F38E2">
      <w:pPr>
        <w:pStyle w:val="Nagwek3"/>
      </w:pPr>
      <w:r w:rsidRPr="003F38E2">
        <w:t xml:space="preserve">Nazwa </w:t>
      </w:r>
      <w:r w:rsidR="00285A78" w:rsidRPr="003F38E2">
        <w:t>rozwiązania</w:t>
      </w:r>
      <w:r w:rsidR="00F518CE" w:rsidRPr="003F38E2">
        <w:t xml:space="preserve"> [</w:t>
      </w:r>
      <w:r w:rsidR="00CA3D2D" w:rsidRPr="003F38E2">
        <w:t>200 zn</w:t>
      </w:r>
      <w:r w:rsidR="007252E4" w:rsidRPr="003F38E2">
        <w:t>.</w:t>
      </w:r>
      <w:r w:rsidR="00CA3D2D" w:rsidRPr="003F38E2">
        <w:rPr>
          <w:rStyle w:val="Odwoanieprzypisudolnego"/>
        </w:rPr>
        <w:footnoteReference w:id="3"/>
      </w:r>
      <w:r w:rsidR="00CA3D2D" w:rsidRPr="003F38E2">
        <w:t>]</w:t>
      </w:r>
      <w:r w:rsidRPr="003F38E2">
        <w:t>:</w:t>
      </w:r>
    </w:p>
    <w:p w14:paraId="442BAC1C" w14:textId="0180CFA3" w:rsidR="00944C6D" w:rsidRPr="00E5549E" w:rsidRDefault="00E5549E" w:rsidP="00E5549E">
      <w:pPr>
        <w:ind w:left="708"/>
        <w:rPr>
          <w:b/>
        </w:rPr>
      </w:pPr>
      <w:r w:rsidRPr="00E5549E">
        <w:rPr>
          <w:b/>
        </w:rPr>
        <w:t>Powiązanie systemu planowania przestrzennego z instrumentami fiskalnymi</w:t>
      </w:r>
    </w:p>
    <w:p w14:paraId="1A1C1117" w14:textId="77777777" w:rsidR="00E5549E" w:rsidRPr="003F38E2" w:rsidRDefault="00E5549E" w:rsidP="003F38E2"/>
    <w:p w14:paraId="0D9DABAD" w14:textId="03CA55BB" w:rsidR="00944C6D" w:rsidRPr="003F38E2" w:rsidRDefault="00353F0C" w:rsidP="003F38E2">
      <w:pPr>
        <w:pStyle w:val="Nagwek3"/>
      </w:pPr>
      <w:r w:rsidRPr="003F38E2">
        <w:t>Zwięzła</w:t>
      </w:r>
      <w:r w:rsidR="000D7675" w:rsidRPr="003F38E2">
        <w:t xml:space="preserve"> c</w:t>
      </w:r>
      <w:r w:rsidR="00944C6D" w:rsidRPr="003F38E2">
        <w:t xml:space="preserve">harakterystyka </w:t>
      </w:r>
      <w:r w:rsidR="002F3DED" w:rsidRPr="003F38E2">
        <w:t xml:space="preserve">proponowanego </w:t>
      </w:r>
      <w:r w:rsidR="00285A78" w:rsidRPr="003F38E2">
        <w:t>rozwiązania</w:t>
      </w:r>
      <w:r w:rsidR="007252E4" w:rsidRPr="003F38E2">
        <w:t xml:space="preserve"> [2000 zn.]</w:t>
      </w:r>
      <w:r w:rsidR="00944C6D" w:rsidRPr="003F38E2">
        <w:t>:</w:t>
      </w:r>
    </w:p>
    <w:p w14:paraId="19A7D0B9" w14:textId="028B7E57" w:rsidR="00DF5142" w:rsidRDefault="0059040E" w:rsidP="0059040E">
      <w:pPr>
        <w:ind w:firstLine="709"/>
      </w:pPr>
      <w:r>
        <w:t>Celem proponowanego rozwiązania jest szersze powiązanie systemu planowania i kształtowania przestrzeni z instrumentami fiskalnymi (</w:t>
      </w:r>
      <w:r w:rsidR="00063E9C">
        <w:t>zwłaszcza</w:t>
      </w:r>
      <w:r>
        <w:t xml:space="preserve"> podatkiem od nieruchomości). </w:t>
      </w:r>
      <w:r w:rsidR="00063E9C">
        <w:t xml:space="preserve">Jego istotą jest wprowadzenie opodatkowania w zakresie podatków gruntowych od przeznaczenia terenu w planie miejscowym (docelowo planie ogólnym bądź też planie zabudowy), jak również wyższych stawek podatkowych dla gruntów niezabudowanych (a przeznaczonych pod zabudowę) oraz nieruchomości związanych z nowymi inwestycjami mieszkaniowymi realizowanymi poza obszarem o w pełni wykształconej zwartej strukturze funkcjonalno-przestrzennej. </w:t>
      </w:r>
    </w:p>
    <w:p w14:paraId="691E515E" w14:textId="77777777" w:rsidR="00063E9C" w:rsidRPr="003F38E2" w:rsidRDefault="00063E9C" w:rsidP="003F38E2"/>
    <w:p w14:paraId="4854431A" w14:textId="505BEFBB" w:rsidR="009A01C2" w:rsidRDefault="00471AAC" w:rsidP="003F38E2">
      <w:pPr>
        <w:pStyle w:val="Nagwek3"/>
      </w:pPr>
      <w:r w:rsidRPr="003F38E2">
        <w:t>Działania szczegółowe</w:t>
      </w:r>
      <w:r w:rsidR="00CA288F" w:rsidRPr="003F38E2">
        <w:t>, narzędzia interwencji</w:t>
      </w:r>
      <w:r w:rsidR="001E1C94" w:rsidRPr="003F38E2">
        <w:t xml:space="preserve"> – szczegółowy opis</w:t>
      </w:r>
      <w:r w:rsidRPr="003F38E2">
        <w:t>:</w:t>
      </w:r>
      <w:r w:rsidR="00C71B9E" w:rsidRPr="003F38E2">
        <w:t xml:space="preserve"> [5000 zn.]</w:t>
      </w:r>
    </w:p>
    <w:p w14:paraId="7208C0A2" w14:textId="0DDC943A" w:rsidR="00945623" w:rsidRDefault="00FC4E63" w:rsidP="00FC4E63">
      <w:pPr>
        <w:ind w:firstLine="708"/>
      </w:pPr>
      <w:r w:rsidRPr="00FC0908">
        <w:rPr>
          <w:b/>
        </w:rPr>
        <w:t>[</w:t>
      </w:r>
      <w:r>
        <w:rPr>
          <w:b/>
        </w:rPr>
        <w:t>Charakterystyka</w:t>
      </w:r>
      <w:r w:rsidRPr="00FC0908">
        <w:rPr>
          <w:b/>
        </w:rPr>
        <w:t xml:space="preserve"> barier i wąskich gardeł istniejących zapisów prawnych]</w:t>
      </w:r>
    </w:p>
    <w:p w14:paraId="4713BD75" w14:textId="1525E33B" w:rsidR="00FC4E63" w:rsidRDefault="00063E9C" w:rsidP="00063E9C">
      <w:pPr>
        <w:ind w:firstLine="708"/>
      </w:pPr>
      <w:r>
        <w:t xml:space="preserve">Obecny system podatkowy nie zapewnia właściwego (optymalnego) bilansu ekonomicznego urbanizacji oraz rozwoju przestrzennego. Sprzyja on prywatyzacji korzyści </w:t>
      </w:r>
      <w:r w:rsidR="00160C7B">
        <w:t>oraz</w:t>
      </w:r>
      <w:r>
        <w:t xml:space="preserve"> upublicznieniu kosztów </w:t>
      </w:r>
      <w:r w:rsidR="00160C7B">
        <w:t xml:space="preserve">(ze względu na brak należytej partycypacji inwestorów w kosztach rozbudowy i utrzymania infrastruktury powstającej w terenach rozproszonego osadnictwa). Tym samym niejako sprzyja on chaotycznej i niekontrolowanej suburbanizacji. </w:t>
      </w:r>
    </w:p>
    <w:p w14:paraId="3675F938" w14:textId="77777777" w:rsidR="00063E9C" w:rsidRDefault="00063E9C" w:rsidP="00945623"/>
    <w:p w14:paraId="2A7B485D" w14:textId="77777777" w:rsidR="00480035" w:rsidRDefault="00480035" w:rsidP="00480035">
      <w:pPr>
        <w:ind w:firstLine="708"/>
      </w:pPr>
      <w:r w:rsidRPr="00FC0908">
        <w:rPr>
          <w:b/>
        </w:rPr>
        <w:t>[Charakterystyka działań szczegółowych oraz narzędzi interwencji]</w:t>
      </w:r>
    </w:p>
    <w:p w14:paraId="7B3E61BB" w14:textId="6636B098" w:rsidR="00480035" w:rsidRDefault="0059040E" w:rsidP="0059040E">
      <w:pPr>
        <w:pStyle w:val="Akapitzlist"/>
        <w:numPr>
          <w:ilvl w:val="0"/>
          <w:numId w:val="24"/>
        </w:numPr>
        <w:ind w:left="714" w:hanging="357"/>
        <w:contextualSpacing w:val="0"/>
      </w:pPr>
      <w:r>
        <w:lastRenderedPageBreak/>
        <w:t xml:space="preserve">Wprowadzenie opodatkowania w zakresie podatków gruntowych w zależności od przeznaczenia terenów w miejscowym planie zagospodarowania przestrzennego (docelowo planie ogólnym lub też planie zabudowy). </w:t>
      </w:r>
    </w:p>
    <w:p w14:paraId="3EEFFBF6" w14:textId="566D61D1" w:rsidR="00F72860" w:rsidRDefault="0059040E" w:rsidP="00945623">
      <w:pPr>
        <w:pStyle w:val="Akapitzlist"/>
        <w:numPr>
          <w:ilvl w:val="0"/>
          <w:numId w:val="24"/>
        </w:numPr>
        <w:ind w:left="714" w:hanging="357"/>
        <w:contextualSpacing w:val="0"/>
      </w:pPr>
      <w:r>
        <w:t xml:space="preserve">Wprowadzenie wyższej stawki podatku od gruntów niezabudowanych przeznaczonych w planie miejscowym pod zabudowę mieszkaniową bądź wskazanych w ewidencji gruntów i budynków jako teren mieszkaniowy (w przypadku braku planu miejscowego). Proponowane rozwiązuje bazuje na podobnym – </w:t>
      </w:r>
      <w:r w:rsidR="008A2247">
        <w:t xml:space="preserve">zastosowanym w efekcie przyjęcia ustawy o rewitalizacji (wprowadzenie w ustawie o podatkach i opłatach lokalnych nowego przedmiotu opodatkowania – gruntów niezabudowanych objętych obszarem rewitalizacji – z jednoczesnym wskazaniem dlań dużo wyższej stawki podatkowej). </w:t>
      </w:r>
      <w:r w:rsidR="00F72860" w:rsidRPr="00F72860">
        <w:t xml:space="preserve">Równocześnie należy wprowadzić możliwość zmiany planu miejscowego i studium gminnego (docelowo planu ogólnego i planu zabudowy) oraz zrzeczenia się decyzji o warunkach zabudowy – na wniosek właściciela nieruchomości niezabudowanej przeznaczonej pod zabudowę (tj. formalną możliwość wycofania jej przeznaczanie pod zabudowę). </w:t>
      </w:r>
    </w:p>
    <w:p w14:paraId="598277A4" w14:textId="59508DF1" w:rsidR="00063E9C" w:rsidRPr="00063E9C" w:rsidRDefault="00F72860" w:rsidP="00063E9C">
      <w:pPr>
        <w:pStyle w:val="Akapitzlist"/>
        <w:numPr>
          <w:ilvl w:val="0"/>
          <w:numId w:val="24"/>
        </w:numPr>
        <w:ind w:left="714" w:hanging="357"/>
        <w:contextualSpacing w:val="0"/>
      </w:pPr>
      <w:r w:rsidRPr="00063E9C">
        <w:t xml:space="preserve">Wdrożenie rozwiązań fiskalnych zniechęcających do inwestowania poza obszarami zwartej zabudowy oraz jednocześnie zwiększających partycypację inwestorów w kosztach rozbudowy i utrzymania infrastruktury (na kształt rozwiązań przyjętych w ustawie o rewitalizacji). </w:t>
      </w:r>
      <w:r w:rsidR="00063E9C" w:rsidRPr="00063E9C">
        <w:t xml:space="preserve">Wprowadzenie wyższej stawki podatku od gruntów i budynków mieszkalnych związanych z nowymi inwestycjami mieszkaniowymi realizowanymi poza obszarami o w pełni wykształconej zwartej strukturze funkcjonalno-przestrzennej (podejmowanymi po upływie terminu 3 lat od wyznaczenia takiego obszaru – jako obligatoryjnego – w drodze uchwały rady gminy). </w:t>
      </w:r>
    </w:p>
    <w:p w14:paraId="53382DFF" w14:textId="5EA7AFCC" w:rsidR="00480035" w:rsidRDefault="00480035" w:rsidP="00480035">
      <w:pPr>
        <w:ind w:firstLine="708"/>
      </w:pPr>
      <w:r w:rsidRPr="00FC0908">
        <w:rPr>
          <w:b/>
        </w:rPr>
        <w:t>[</w:t>
      </w:r>
      <w:r>
        <w:rPr>
          <w:b/>
        </w:rPr>
        <w:t>Grupy docelowe i adresaci rozwiązania</w:t>
      </w:r>
      <w:r w:rsidRPr="00FC0908">
        <w:rPr>
          <w:b/>
        </w:rPr>
        <w:t>]</w:t>
      </w:r>
    </w:p>
    <w:p w14:paraId="08E199B9" w14:textId="641D1A92" w:rsidR="00616B29" w:rsidRDefault="00F72860" w:rsidP="00F72860">
      <w:pPr>
        <w:ind w:firstLine="708"/>
      </w:pPr>
      <w:r>
        <w:t xml:space="preserve">Podstawowymi grupami docelowymi rozwiązania są samorządy gmin (miast). </w:t>
      </w:r>
    </w:p>
    <w:p w14:paraId="6B53AF28" w14:textId="77777777" w:rsidR="00F72860" w:rsidRPr="003F38E2" w:rsidRDefault="00F72860" w:rsidP="003F38E2"/>
    <w:p w14:paraId="5DCC8960" w14:textId="0BF04824" w:rsidR="009A01C2" w:rsidRPr="003F38E2" w:rsidRDefault="004331B6" w:rsidP="003F38E2">
      <w:pPr>
        <w:pStyle w:val="Nagwek3"/>
      </w:pPr>
      <w:r w:rsidRPr="003F38E2">
        <w:t>Podmioty odpowiedzialne za realizację:</w:t>
      </w:r>
    </w:p>
    <w:p w14:paraId="1CE3D418" w14:textId="2BB35C0F" w:rsidR="00635FA6" w:rsidRDefault="00635FA6" w:rsidP="003F38E2">
      <w:r w:rsidRPr="00635FA6">
        <w:rPr>
          <w:b/>
        </w:rPr>
        <w:t>Ministerstwo Rozwoju, Pracy i Technologii</w:t>
      </w:r>
      <w:r>
        <w:t xml:space="preserve"> (</w:t>
      </w:r>
      <w:r w:rsidRPr="00635FA6">
        <w:rPr>
          <w:b/>
        </w:rPr>
        <w:t>Departament Planowania Przestrzennego</w:t>
      </w:r>
      <w:r>
        <w:t xml:space="preserve">) oraz </w:t>
      </w:r>
      <w:r w:rsidRPr="00635FA6">
        <w:rPr>
          <w:b/>
        </w:rPr>
        <w:t>Ministerstwo Finansów</w:t>
      </w:r>
      <w:r>
        <w:t xml:space="preserve"> (</w:t>
      </w:r>
      <w:r w:rsidRPr="00635FA6">
        <w:rPr>
          <w:b/>
        </w:rPr>
        <w:t>Departament Finansów Samorządu Terytorialnego</w:t>
      </w:r>
      <w:r>
        <w:t xml:space="preserve">) – jako podmioty wiodące – we współpracy ze środowiskiem urbanistów, a także korporacjami samorządowymi (Związek Miast Polskich, Unia Metropolii Polskich, Związek Gmin </w:t>
      </w:r>
      <w:r w:rsidRPr="00635FA6">
        <w:t>Wiejskich Rzeczypospolitej Polskiej</w:t>
      </w:r>
      <w:r>
        <w:t xml:space="preserve">). </w:t>
      </w:r>
    </w:p>
    <w:p w14:paraId="424E86AC" w14:textId="77777777" w:rsidR="00635FA6" w:rsidRPr="003F38E2" w:rsidRDefault="00635FA6" w:rsidP="003F38E2"/>
    <w:p w14:paraId="509BFD75" w14:textId="0CB7FAEE" w:rsidR="000D7675" w:rsidRPr="003F38E2" w:rsidRDefault="00D55F58" w:rsidP="003F38E2">
      <w:pPr>
        <w:pStyle w:val="Nagwek3"/>
      </w:pPr>
      <w:r w:rsidRPr="003F38E2">
        <w:t>Wstępny</w:t>
      </w:r>
      <w:r w:rsidR="006C579C" w:rsidRPr="003F38E2">
        <w:t xml:space="preserve"> harmonogram</w:t>
      </w:r>
      <w:r w:rsidR="0074203F" w:rsidRPr="003F38E2">
        <w:t xml:space="preserve"> i kamienie milowe</w:t>
      </w:r>
      <w:r w:rsidRPr="003F38E2">
        <w:t>:</w:t>
      </w:r>
    </w:p>
    <w:p w14:paraId="4FE321C3" w14:textId="0E959225" w:rsidR="00AF1E15" w:rsidRDefault="005415E0" w:rsidP="005415E0">
      <w:pPr>
        <w:ind w:firstLine="708"/>
      </w:pPr>
      <w:r>
        <w:t xml:space="preserve">Wypracowanie szczegółowych rozwiązań w zakresie proponowanych zmian przed wejściem w życie reformy systemu planowania przestrzennego: </w:t>
      </w:r>
      <w:r w:rsidRPr="005415E0">
        <w:rPr>
          <w:b/>
        </w:rPr>
        <w:t>optymalnie do końca 2022 r.</w:t>
      </w:r>
    </w:p>
    <w:p w14:paraId="06F22CAB" w14:textId="77777777" w:rsidR="005415E0" w:rsidRPr="003F38E2" w:rsidRDefault="005415E0" w:rsidP="003F38E2"/>
    <w:p w14:paraId="32AA4919" w14:textId="55211C56" w:rsidR="000945FE" w:rsidRPr="003F38E2" w:rsidRDefault="007F072F" w:rsidP="003F38E2">
      <w:pPr>
        <w:pStyle w:val="Nagwek3"/>
      </w:pPr>
      <w:r w:rsidRPr="003F38E2">
        <w:t>Priorytet</w:t>
      </w:r>
      <w:r w:rsidR="009B4B16" w:rsidRPr="003F38E2">
        <w:t xml:space="preserve">/istotność z punktu widzenia </w:t>
      </w:r>
      <w:r w:rsidR="004E7FA1" w:rsidRPr="003F38E2">
        <w:t>wpływu na wyzwanie/rozwiązanie problemu</w:t>
      </w:r>
      <w:r w:rsidR="00645634" w:rsidRPr="003F38E2">
        <w:t xml:space="preserve"> (oczekiwany efekt)</w:t>
      </w:r>
      <w:r w:rsidR="00DD7E62" w:rsidRPr="003F38E2">
        <w:t>:</w:t>
      </w:r>
    </w:p>
    <w:p w14:paraId="7C723A1C" w14:textId="7B4D04C1" w:rsidR="000945FE" w:rsidRDefault="00160C7B" w:rsidP="00160C7B">
      <w:pPr>
        <w:ind w:firstLine="708"/>
      </w:pPr>
      <w:r w:rsidRPr="00160C7B">
        <w:t>Powiązanie systemu planowania przestrzennego z instrumentami fiskalnymi</w:t>
      </w:r>
      <w:r>
        <w:t xml:space="preserve"> (podatkiem od nieruchomości) może mieć bardzo istotny (długofalowy) wpływ na kształtowanie miasta zwartego oraz przeciwdziałanie chaotycznej i niekontrolowanej suburbanizacji. </w:t>
      </w:r>
      <w:r w:rsidR="001C3CA8">
        <w:t xml:space="preserve">Wdrożenie proponowanych rozwiązań przyczyni się do ograniczenia rozlewania i rozpraszania zabudowy oraz zwiększenia stopnia partycypacji inwestorów w kosztach urbanizacji. </w:t>
      </w:r>
    </w:p>
    <w:p w14:paraId="0D63B62E" w14:textId="77777777" w:rsidR="00160C7B" w:rsidRPr="003F38E2" w:rsidRDefault="00160C7B" w:rsidP="003F38E2"/>
    <w:p w14:paraId="05BD24EE" w14:textId="21226022" w:rsidR="0059298A" w:rsidRPr="003F38E2" w:rsidRDefault="0059298A" w:rsidP="003F38E2">
      <w:pPr>
        <w:pStyle w:val="Nagwek3"/>
      </w:pPr>
      <w:r w:rsidRPr="003F38E2">
        <w:t xml:space="preserve">Odniesienia do </w:t>
      </w:r>
      <w:r w:rsidR="0059704F" w:rsidRPr="003F38E2">
        <w:t>diagnoz, dodatkowe materiały źródłowe</w:t>
      </w:r>
      <w:r w:rsidR="00F2007F" w:rsidRPr="003F38E2">
        <w:t>, li</w:t>
      </w:r>
      <w:r w:rsidR="00550111" w:rsidRPr="003F38E2">
        <w:t>teratura</w:t>
      </w:r>
      <w:r w:rsidR="0059704F" w:rsidRPr="003F38E2">
        <w:t>:</w:t>
      </w:r>
    </w:p>
    <w:p w14:paraId="2BC751DD" w14:textId="574FE2A7" w:rsidR="001F2156" w:rsidRDefault="001F2156" w:rsidP="001F2156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>Mikuła Ł., 2017, Nowe instrumenty ekonomiczne polityki miejskiej w świetle ustawy o rewitalizacji, Rozwój Regionalny i Polityka Regionalna, 39, s. 47–60</w:t>
      </w:r>
    </w:p>
    <w:p w14:paraId="189C5877" w14:textId="5FDA4C56" w:rsidR="001F2156" w:rsidRDefault="001F2156" w:rsidP="001F2156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lastRenderedPageBreak/>
        <w:t>Talik A., Mazur R., 2017, Prawne instrumenty kształtowania podatków lokalnych przez gminy (na przykładzie podatku od nieruchomości), Prace Naukowe Uniwersytetu Ekonomicznego we Wrocławiu, 391, Gospodarka loka</w:t>
      </w:r>
      <w:r>
        <w:t>lna w teorii i praktyce, s. 211-</w:t>
      </w:r>
      <w:r>
        <w:t>219.</w:t>
      </w:r>
    </w:p>
    <w:p w14:paraId="528D2FE9" w14:textId="671E10AD" w:rsidR="001F2156" w:rsidRDefault="001F2156" w:rsidP="001F2156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>Wójtowicz K. A., 2016, Możliwości wykorzystywania przez gminy podatków i opłat do przejmowania pożytków z tzw. renty planistycznej – wybrane problemy, Annales Universitatis Mariae Curie-Skłodowska. Sectio H. Oeconomia, 1, s. 409–417.</w:t>
      </w:r>
    </w:p>
    <w:p w14:paraId="2A67060D" w14:textId="19D4672C" w:rsidR="001F2156" w:rsidRPr="003F38E2" w:rsidRDefault="001F2156" w:rsidP="003F38E2">
      <w:bookmarkStart w:id="0" w:name="_GoBack"/>
      <w:bookmarkEnd w:id="0"/>
    </w:p>
    <w:p w14:paraId="379BC40B" w14:textId="7E359917" w:rsidR="00A84AA2" w:rsidRPr="003F38E2" w:rsidRDefault="00A84AA2" w:rsidP="003F38E2">
      <w:pPr>
        <w:pStyle w:val="Nagwek3"/>
        <w:shd w:val="clear" w:color="auto" w:fill="FFFFFF" w:themeFill="background1"/>
      </w:pPr>
      <w:r w:rsidRPr="003F38E2">
        <w:t>Powiązane akty prawne</w:t>
      </w:r>
      <w:r w:rsidR="00154D56" w:rsidRPr="003F38E2">
        <w:t xml:space="preserve">, </w:t>
      </w:r>
      <w:r w:rsidR="00286A0A" w:rsidRPr="00CA71A8">
        <w:t>i</w:t>
      </w:r>
      <w:r w:rsidR="00154D56" w:rsidRPr="00CA71A8">
        <w:t>dentyfikacja obszaru prawnego wymagającego poprawy (odniesienie do istniejącego stanu prawnego)</w:t>
      </w:r>
      <w:r w:rsidRPr="00CA71A8">
        <w:t>:</w:t>
      </w:r>
    </w:p>
    <w:p w14:paraId="6C966458" w14:textId="6C1421F3" w:rsidR="00550111" w:rsidRDefault="008A676C" w:rsidP="008A676C">
      <w:pPr>
        <w:pStyle w:val="Akapitzlist"/>
        <w:numPr>
          <w:ilvl w:val="0"/>
          <w:numId w:val="25"/>
        </w:numPr>
        <w:ind w:left="714" w:hanging="357"/>
        <w:contextualSpacing w:val="0"/>
      </w:pPr>
      <w:r>
        <w:t>Ustawa z dnia 27 marca 2003 r. o planowaniu i zagospodarowaniu przestrzennym (Dz.U. 2003 Nr. 80 poz. 717 z późn. zm.)</w:t>
      </w:r>
    </w:p>
    <w:p w14:paraId="5B67671B" w14:textId="305A5FE8" w:rsidR="008A676C" w:rsidRDefault="008A676C" w:rsidP="008A676C">
      <w:pPr>
        <w:pStyle w:val="Akapitzlist"/>
        <w:numPr>
          <w:ilvl w:val="0"/>
          <w:numId w:val="25"/>
        </w:numPr>
        <w:ind w:left="714" w:hanging="357"/>
        <w:contextualSpacing w:val="0"/>
      </w:pPr>
      <w:r>
        <w:t xml:space="preserve">Ustawa z dnia 12 stycznia 1991 r. o podatkach i opłatach lokalnych (Dz.U. 1991 Nr 9 poz. 31 z późn. zm.). </w:t>
      </w:r>
    </w:p>
    <w:p w14:paraId="54BC1EC8" w14:textId="77777777" w:rsidR="008A676C" w:rsidRPr="003F38E2" w:rsidRDefault="008A676C" w:rsidP="003F38E2"/>
    <w:p w14:paraId="4F656610" w14:textId="39E452C6" w:rsidR="00D434B2" w:rsidRPr="003F38E2" w:rsidRDefault="00D434B2" w:rsidP="003F38E2">
      <w:pPr>
        <w:pStyle w:val="Nagwek3"/>
      </w:pPr>
      <w:r w:rsidRPr="003F38E2">
        <w:t>Przykłady podobnych rozwiązań w innych krajach (jeśli znane)</w:t>
      </w:r>
    </w:p>
    <w:p w14:paraId="07483B9E" w14:textId="544ABA9E" w:rsidR="00D434B2" w:rsidRPr="00D434B2" w:rsidRDefault="00475177" w:rsidP="003F38E2">
      <w:r w:rsidRPr="003F38E2">
        <w:t>[…]</w:t>
      </w:r>
    </w:p>
    <w:p w14:paraId="0E0A673B" w14:textId="1C793CDB" w:rsidR="00485014" w:rsidRDefault="00485014" w:rsidP="003F38E2">
      <w:pPr>
        <w:jc w:val="left"/>
      </w:pPr>
    </w:p>
    <w:sectPr w:rsidR="00485014" w:rsidSect="008C512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60F29" w14:textId="77777777" w:rsidR="00673857" w:rsidRDefault="00673857" w:rsidP="005B177E">
      <w:r>
        <w:separator/>
      </w:r>
    </w:p>
  </w:endnote>
  <w:endnote w:type="continuationSeparator" w:id="0">
    <w:p w14:paraId="2CE84709" w14:textId="77777777" w:rsidR="00673857" w:rsidRDefault="00673857" w:rsidP="005B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495798"/>
      <w:docPartObj>
        <w:docPartGallery w:val="Page Numbers (Bottom of Page)"/>
        <w:docPartUnique/>
      </w:docPartObj>
    </w:sdtPr>
    <w:sdtEndPr/>
    <w:sdtContent>
      <w:p w14:paraId="2FD735AB" w14:textId="6E2D7327" w:rsidR="00850550" w:rsidRDefault="008505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56">
          <w:rPr>
            <w:noProof/>
          </w:rPr>
          <w:t>2</w:t>
        </w:r>
        <w:r>
          <w:fldChar w:fldCharType="end"/>
        </w:r>
      </w:p>
    </w:sdtContent>
  </w:sdt>
  <w:p w14:paraId="3513E2F5" w14:textId="77777777" w:rsidR="00850550" w:rsidRDefault="00850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F783" w14:textId="77777777" w:rsidR="00673857" w:rsidRDefault="00673857" w:rsidP="005B177E">
      <w:r>
        <w:separator/>
      </w:r>
    </w:p>
  </w:footnote>
  <w:footnote w:type="continuationSeparator" w:id="0">
    <w:p w14:paraId="398F9DDE" w14:textId="77777777" w:rsidR="00673857" w:rsidRDefault="00673857" w:rsidP="005B177E">
      <w:r>
        <w:continuationSeparator/>
      </w:r>
    </w:p>
  </w:footnote>
  <w:footnote w:id="1">
    <w:p w14:paraId="4D2CAEC6" w14:textId="77777777" w:rsidR="00C377DE" w:rsidRPr="006E0806" w:rsidRDefault="00C377DE" w:rsidP="00C37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806">
        <w:t xml:space="preserve">a) Rozwiązania w zakresie regulacji prawnych, administracyjnych itd. </w:t>
      </w:r>
    </w:p>
    <w:p w14:paraId="4639B9E5" w14:textId="77777777" w:rsidR="00C377DE" w:rsidRPr="006E0806" w:rsidRDefault="00C377DE" w:rsidP="00C377DE">
      <w:pPr>
        <w:pStyle w:val="Tekstprzypisudolnego"/>
      </w:pPr>
      <w:r w:rsidRPr="006E0806">
        <w:t>b) Rozwiązania w zakresie finansowania i programów funduszowych</w:t>
      </w:r>
    </w:p>
    <w:p w14:paraId="2F9D6979" w14:textId="77777777" w:rsidR="00C377DE" w:rsidRPr="006E0806" w:rsidRDefault="00C377DE" w:rsidP="00C377DE">
      <w:pPr>
        <w:pStyle w:val="Tekstprzypisudolnego"/>
      </w:pPr>
      <w:r w:rsidRPr="006E0806">
        <w:t>c) Dedykowane programy krajowe</w:t>
      </w:r>
    </w:p>
    <w:p w14:paraId="44E41448" w14:textId="0B453719" w:rsidR="00C377DE" w:rsidRPr="006E0806" w:rsidRDefault="00C377DE" w:rsidP="00C377DE">
      <w:pPr>
        <w:pStyle w:val="Tekstprzypisudolnego"/>
      </w:pPr>
      <w:r w:rsidRPr="006E0806">
        <w:t xml:space="preserve">d) </w:t>
      </w:r>
      <w:r w:rsidR="00AB3938">
        <w:t>Wzmacnianie know-how</w:t>
      </w:r>
      <w:r w:rsidR="00AE0F32">
        <w:t xml:space="preserve">: </w:t>
      </w:r>
      <w:r w:rsidRPr="006E0806">
        <w:t>Rekomendacje, zalecenia, standardy, dobre praktyki, wymiana doświadczeń, szkolenia, pilotaże</w:t>
      </w:r>
      <w:r w:rsidR="00AE0F32">
        <w:t>, programy współpracy</w:t>
      </w:r>
      <w:r w:rsidRPr="006E0806">
        <w:t xml:space="preserve"> itd.</w:t>
      </w:r>
    </w:p>
    <w:p w14:paraId="7CEAF960" w14:textId="77777777" w:rsidR="00C377DE" w:rsidRPr="006E0806" w:rsidRDefault="00C377DE" w:rsidP="00C377DE">
      <w:pPr>
        <w:pStyle w:val="Tekstprzypisudolnego"/>
      </w:pPr>
      <w:r w:rsidRPr="006E0806">
        <w:t xml:space="preserve">e) Dostosowywanie działań, inwestycji realizowanych przez inne zależne od rządu podmioty krajowe </w:t>
      </w:r>
    </w:p>
    <w:p w14:paraId="599CEDDF" w14:textId="479C1ABE" w:rsidR="00C377DE" w:rsidRDefault="00C377DE" w:rsidP="00C377DE">
      <w:pPr>
        <w:pStyle w:val="Tekstprzypisudolnego"/>
      </w:pPr>
      <w:r w:rsidRPr="006E0806">
        <w:t>f) Inne</w:t>
      </w:r>
    </w:p>
  </w:footnote>
  <w:footnote w:id="2">
    <w:p w14:paraId="0ED09298" w14:textId="7631D5AF" w:rsidR="00C377DE" w:rsidRDefault="00C37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7FEB">
        <w:t>A</w:t>
      </w:r>
      <w:r w:rsidR="00AE0F32">
        <w:t xml:space="preserve"> </w:t>
      </w:r>
      <w:r w:rsidR="00684BDA">
        <w:t>–</w:t>
      </w:r>
      <w:r w:rsidR="00AE0F32">
        <w:t xml:space="preserve"> </w:t>
      </w:r>
      <w:r w:rsidR="00684BDA">
        <w:t xml:space="preserve">Regulacje prawne; B – Mechanizmy finansowania; C </w:t>
      </w:r>
      <w:r w:rsidR="00716B79">
        <w:t>–</w:t>
      </w:r>
      <w:r w:rsidR="00684BDA">
        <w:t xml:space="preserve"> </w:t>
      </w:r>
      <w:r w:rsidR="00716B79">
        <w:t>Wzmacnianie wiedzy i współpracy</w:t>
      </w:r>
    </w:p>
  </w:footnote>
  <w:footnote w:id="3">
    <w:p w14:paraId="62FAB205" w14:textId="77B9B357" w:rsidR="00CA3D2D" w:rsidRDefault="00CA3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855F2">
        <w:t>Znaki ze spacjami – podane wartości dotyczą</w:t>
      </w:r>
      <w:r w:rsidR="007252E4">
        <w:t xml:space="preserve"> maksymalnej objętości opisu – orientacyjnie.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FF62" w14:textId="4CDED733" w:rsidR="00AF1E15" w:rsidRPr="00B036C4" w:rsidRDefault="00D33BFB" w:rsidP="005B177E">
    <w:pPr>
      <w:rPr>
        <w:b/>
        <w:bCs/>
      </w:rPr>
    </w:pPr>
    <w:r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FBC68F1" wp14:editId="15546732">
          <wp:simplePos x="0" y="0"/>
          <wp:positionH relativeFrom="margin">
            <wp:posOffset>3032760</wp:posOffset>
          </wp:positionH>
          <wp:positionV relativeFrom="margin">
            <wp:posOffset>-598170</wp:posOffset>
          </wp:positionV>
          <wp:extent cx="1581150" cy="471805"/>
          <wp:effectExtent l="0" t="0" r="0" b="4445"/>
          <wp:wrapSquare wrapText="bothSides"/>
          <wp:docPr id="1" name="Obraz 1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gre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6C4" w:rsidRPr="00B036C4"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03DEAEE6" wp14:editId="62079E83">
          <wp:simplePos x="0" y="0"/>
          <wp:positionH relativeFrom="column">
            <wp:posOffset>4662805</wp:posOffset>
          </wp:positionH>
          <wp:positionV relativeFrom="paragraph">
            <wp:posOffset>-421005</wp:posOffset>
          </wp:positionV>
          <wp:extent cx="1543050" cy="79074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9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5A5" w:rsidRPr="00B036C4">
      <w:rPr>
        <w:b/>
        <w:bCs/>
        <w:sz w:val="28"/>
        <w:szCs w:val="28"/>
      </w:rPr>
      <w:t>KRAJOWA POLITYKA MIEJSKA 2030</w:t>
    </w:r>
    <w:r w:rsidR="00592A86" w:rsidRPr="00B036C4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52B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C81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E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46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4F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27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D6F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FE6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0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763"/>
    <w:multiLevelType w:val="hybridMultilevel"/>
    <w:tmpl w:val="439E9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31500D4"/>
    <w:multiLevelType w:val="hybridMultilevel"/>
    <w:tmpl w:val="E142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BE7419"/>
    <w:multiLevelType w:val="hybridMultilevel"/>
    <w:tmpl w:val="5A68C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35665E"/>
    <w:multiLevelType w:val="hybridMultilevel"/>
    <w:tmpl w:val="65DC1264"/>
    <w:lvl w:ilvl="0" w:tplc="54965814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11208E"/>
    <w:multiLevelType w:val="hybridMultilevel"/>
    <w:tmpl w:val="1D16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132EF"/>
    <w:multiLevelType w:val="hybridMultilevel"/>
    <w:tmpl w:val="DD3A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14"/>
  </w:num>
  <w:num w:numId="15">
    <w:abstractNumId w:val="16"/>
  </w:num>
  <w:num w:numId="16">
    <w:abstractNumId w:val="11"/>
  </w:num>
  <w:num w:numId="17">
    <w:abstractNumId w:val="20"/>
  </w:num>
  <w:num w:numId="18">
    <w:abstractNumId w:val="18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1"/>
  </w:num>
  <w:num w:numId="23">
    <w:abstractNumId w:val="22"/>
  </w:num>
  <w:num w:numId="24">
    <w:abstractNumId w:val="13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15"/>
    <w:rsid w:val="00013DAD"/>
    <w:rsid w:val="00023521"/>
    <w:rsid w:val="00063E9C"/>
    <w:rsid w:val="000721CA"/>
    <w:rsid w:val="000945FE"/>
    <w:rsid w:val="000C4664"/>
    <w:rsid w:val="000D420F"/>
    <w:rsid w:val="000D547F"/>
    <w:rsid w:val="000D7675"/>
    <w:rsid w:val="001530ED"/>
    <w:rsid w:val="00153A61"/>
    <w:rsid w:val="00154D56"/>
    <w:rsid w:val="00157FC0"/>
    <w:rsid w:val="0016068B"/>
    <w:rsid w:val="00160C7B"/>
    <w:rsid w:val="00176B1E"/>
    <w:rsid w:val="001830ED"/>
    <w:rsid w:val="0018773C"/>
    <w:rsid w:val="0019211A"/>
    <w:rsid w:val="001A74DF"/>
    <w:rsid w:val="001B2BF3"/>
    <w:rsid w:val="001C3CA8"/>
    <w:rsid w:val="001D087C"/>
    <w:rsid w:val="001D456D"/>
    <w:rsid w:val="001E1C94"/>
    <w:rsid w:val="001F2156"/>
    <w:rsid w:val="00215AEB"/>
    <w:rsid w:val="00277A9F"/>
    <w:rsid w:val="00285A78"/>
    <w:rsid w:val="00286A0A"/>
    <w:rsid w:val="002A07C2"/>
    <w:rsid w:val="002D0C84"/>
    <w:rsid w:val="002D5AAF"/>
    <w:rsid w:val="002D71FD"/>
    <w:rsid w:val="002E18F7"/>
    <w:rsid w:val="002E6FAA"/>
    <w:rsid w:val="002F3DED"/>
    <w:rsid w:val="002F6309"/>
    <w:rsid w:val="002F6A74"/>
    <w:rsid w:val="003105E3"/>
    <w:rsid w:val="003109A0"/>
    <w:rsid w:val="00314BB5"/>
    <w:rsid w:val="00353F0C"/>
    <w:rsid w:val="00374478"/>
    <w:rsid w:val="00376922"/>
    <w:rsid w:val="00395054"/>
    <w:rsid w:val="003B79F8"/>
    <w:rsid w:val="003F38E2"/>
    <w:rsid w:val="00402545"/>
    <w:rsid w:val="00404429"/>
    <w:rsid w:val="004253C9"/>
    <w:rsid w:val="004331B6"/>
    <w:rsid w:val="00460CD8"/>
    <w:rsid w:val="00461845"/>
    <w:rsid w:val="004632BF"/>
    <w:rsid w:val="00471AAC"/>
    <w:rsid w:val="00475177"/>
    <w:rsid w:val="00480035"/>
    <w:rsid w:val="00485014"/>
    <w:rsid w:val="004C4527"/>
    <w:rsid w:val="004D7ADE"/>
    <w:rsid w:val="004E7FA1"/>
    <w:rsid w:val="00534B77"/>
    <w:rsid w:val="005415E0"/>
    <w:rsid w:val="00550111"/>
    <w:rsid w:val="00560733"/>
    <w:rsid w:val="0058246C"/>
    <w:rsid w:val="005855F2"/>
    <w:rsid w:val="0059040E"/>
    <w:rsid w:val="0059298A"/>
    <w:rsid w:val="00592A86"/>
    <w:rsid w:val="0059704F"/>
    <w:rsid w:val="005B177E"/>
    <w:rsid w:val="005F1DA6"/>
    <w:rsid w:val="005F31E1"/>
    <w:rsid w:val="005F6A87"/>
    <w:rsid w:val="006157DD"/>
    <w:rsid w:val="00616B29"/>
    <w:rsid w:val="00617D0B"/>
    <w:rsid w:val="00635FA6"/>
    <w:rsid w:val="00645634"/>
    <w:rsid w:val="0065444A"/>
    <w:rsid w:val="00663778"/>
    <w:rsid w:val="00663BE7"/>
    <w:rsid w:val="00663C03"/>
    <w:rsid w:val="00663CD8"/>
    <w:rsid w:val="00673857"/>
    <w:rsid w:val="0068384C"/>
    <w:rsid w:val="00684BDA"/>
    <w:rsid w:val="006A1A76"/>
    <w:rsid w:val="006A35FD"/>
    <w:rsid w:val="006A750E"/>
    <w:rsid w:val="006C4B1B"/>
    <w:rsid w:val="006C579C"/>
    <w:rsid w:val="006E0806"/>
    <w:rsid w:val="00716B79"/>
    <w:rsid w:val="007252E4"/>
    <w:rsid w:val="00735489"/>
    <w:rsid w:val="00735FE5"/>
    <w:rsid w:val="0074203F"/>
    <w:rsid w:val="00744861"/>
    <w:rsid w:val="00752A84"/>
    <w:rsid w:val="00775AEC"/>
    <w:rsid w:val="00793266"/>
    <w:rsid w:val="007A01C6"/>
    <w:rsid w:val="007A3029"/>
    <w:rsid w:val="007E163D"/>
    <w:rsid w:val="007F072F"/>
    <w:rsid w:val="007F2B23"/>
    <w:rsid w:val="00825DA6"/>
    <w:rsid w:val="00825E13"/>
    <w:rsid w:val="00845C70"/>
    <w:rsid w:val="00850550"/>
    <w:rsid w:val="0085774C"/>
    <w:rsid w:val="008846A1"/>
    <w:rsid w:val="00893AEE"/>
    <w:rsid w:val="00897B3B"/>
    <w:rsid w:val="008A2247"/>
    <w:rsid w:val="008A676C"/>
    <w:rsid w:val="008C5124"/>
    <w:rsid w:val="008D0B01"/>
    <w:rsid w:val="009124FD"/>
    <w:rsid w:val="00935617"/>
    <w:rsid w:val="009425A5"/>
    <w:rsid w:val="00942BD2"/>
    <w:rsid w:val="00944C6D"/>
    <w:rsid w:val="00945623"/>
    <w:rsid w:val="009A01C2"/>
    <w:rsid w:val="009B4B16"/>
    <w:rsid w:val="009B5D31"/>
    <w:rsid w:val="009B69F9"/>
    <w:rsid w:val="00A36A21"/>
    <w:rsid w:val="00A417B6"/>
    <w:rsid w:val="00A64A9C"/>
    <w:rsid w:val="00A71FA1"/>
    <w:rsid w:val="00A72DF4"/>
    <w:rsid w:val="00A77407"/>
    <w:rsid w:val="00A840BA"/>
    <w:rsid w:val="00A84AA2"/>
    <w:rsid w:val="00A936B0"/>
    <w:rsid w:val="00AB3938"/>
    <w:rsid w:val="00AD0FCA"/>
    <w:rsid w:val="00AE0F32"/>
    <w:rsid w:val="00AF1E15"/>
    <w:rsid w:val="00B036C4"/>
    <w:rsid w:val="00B07DC2"/>
    <w:rsid w:val="00B07FEB"/>
    <w:rsid w:val="00B123AC"/>
    <w:rsid w:val="00B23E89"/>
    <w:rsid w:val="00B64C18"/>
    <w:rsid w:val="00B87DFA"/>
    <w:rsid w:val="00BA5384"/>
    <w:rsid w:val="00BC7C98"/>
    <w:rsid w:val="00BD7AD0"/>
    <w:rsid w:val="00BE5886"/>
    <w:rsid w:val="00C22757"/>
    <w:rsid w:val="00C377DE"/>
    <w:rsid w:val="00C40B47"/>
    <w:rsid w:val="00C71B9E"/>
    <w:rsid w:val="00CA220D"/>
    <w:rsid w:val="00CA288F"/>
    <w:rsid w:val="00CA3D2D"/>
    <w:rsid w:val="00CA5516"/>
    <w:rsid w:val="00CA71A8"/>
    <w:rsid w:val="00CB14E5"/>
    <w:rsid w:val="00CB5D85"/>
    <w:rsid w:val="00CB7909"/>
    <w:rsid w:val="00D17041"/>
    <w:rsid w:val="00D33BFB"/>
    <w:rsid w:val="00D434B2"/>
    <w:rsid w:val="00D51922"/>
    <w:rsid w:val="00D543AC"/>
    <w:rsid w:val="00D55F58"/>
    <w:rsid w:val="00D63AC0"/>
    <w:rsid w:val="00D72919"/>
    <w:rsid w:val="00D7341B"/>
    <w:rsid w:val="00D96024"/>
    <w:rsid w:val="00DA2349"/>
    <w:rsid w:val="00DB5C21"/>
    <w:rsid w:val="00DB7F37"/>
    <w:rsid w:val="00DD54BF"/>
    <w:rsid w:val="00DD66F7"/>
    <w:rsid w:val="00DD7E62"/>
    <w:rsid w:val="00DF5142"/>
    <w:rsid w:val="00DF651B"/>
    <w:rsid w:val="00E5549E"/>
    <w:rsid w:val="00E712DD"/>
    <w:rsid w:val="00E77061"/>
    <w:rsid w:val="00EB1E98"/>
    <w:rsid w:val="00EC3F3C"/>
    <w:rsid w:val="00EE1A5C"/>
    <w:rsid w:val="00EE29AD"/>
    <w:rsid w:val="00EF3B9F"/>
    <w:rsid w:val="00F05E06"/>
    <w:rsid w:val="00F2007F"/>
    <w:rsid w:val="00F22919"/>
    <w:rsid w:val="00F25FB3"/>
    <w:rsid w:val="00F323EC"/>
    <w:rsid w:val="00F4463F"/>
    <w:rsid w:val="00F518CE"/>
    <w:rsid w:val="00F52D78"/>
    <w:rsid w:val="00F5360A"/>
    <w:rsid w:val="00F72860"/>
    <w:rsid w:val="00F74F7C"/>
    <w:rsid w:val="00F75E65"/>
    <w:rsid w:val="00F77367"/>
    <w:rsid w:val="00F84A7C"/>
    <w:rsid w:val="00F90925"/>
    <w:rsid w:val="00F94214"/>
    <w:rsid w:val="00F95418"/>
    <w:rsid w:val="00F95718"/>
    <w:rsid w:val="00FB69A9"/>
    <w:rsid w:val="00FC0E76"/>
    <w:rsid w:val="00FC4E63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95C5D"/>
  <w15:docId w15:val="{F67077F7-1A0C-49BB-AB16-DF49AB3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7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1E15"/>
    <w:pPr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FB3"/>
    <w:pPr>
      <w:numPr>
        <w:numId w:val="11"/>
      </w:numPr>
      <w:outlineLvl w:val="2"/>
    </w:pPr>
    <w:rPr>
      <w:b/>
      <w:bCs/>
      <w:color w:val="ED7D3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1E15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15"/>
  </w:style>
  <w:style w:type="paragraph" w:styleId="Stopka">
    <w:name w:val="footer"/>
    <w:basedOn w:val="Normalny"/>
    <w:link w:val="StopkaZnak"/>
    <w:uiPriority w:val="99"/>
    <w:unhideWhenUsed/>
    <w:rsid w:val="00AF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15"/>
  </w:style>
  <w:style w:type="character" w:customStyle="1" w:styleId="Nagwek3Znak">
    <w:name w:val="Nagłówek 3 Znak"/>
    <w:basedOn w:val="Domylnaczcionkaakapitu"/>
    <w:link w:val="Nagwek3"/>
    <w:uiPriority w:val="9"/>
    <w:rsid w:val="00F25FB3"/>
    <w:rPr>
      <w:b/>
      <w:bCs/>
      <w:color w:val="ED7D31" w:themeColor="accent2"/>
    </w:rPr>
  </w:style>
  <w:style w:type="table" w:styleId="Tabela-Siatka">
    <w:name w:val="Table Grid"/>
    <w:basedOn w:val="Standardowy"/>
    <w:uiPriority w:val="39"/>
    <w:rsid w:val="00F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5124"/>
    <w:rPr>
      <w:color w:val="808080"/>
    </w:rPr>
  </w:style>
  <w:style w:type="character" w:styleId="Hipercze">
    <w:name w:val="Hyperlink"/>
    <w:uiPriority w:val="99"/>
    <w:unhideWhenUsed/>
    <w:rsid w:val="004D7A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5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6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D2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08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2" ma:contentTypeDescription="Utwórz nowy dokument." ma:contentTypeScope="" ma:versionID="7fca2d4563b216d1fe8990182c20c8fb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00bf2a1fb99e7d3194ca255df7fca5af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8FE0-3858-441A-BC02-5C6EE859E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76BAB-7D85-4E0F-9AE3-A1010104D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AA5F3-CF1E-4883-BCA1-71208D4CA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0A5D3-3EF3-4AA8-86EA-FCE87F41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Janas</dc:creator>
  <cp:lastModifiedBy>Lukasz Sykala</cp:lastModifiedBy>
  <cp:revision>22</cp:revision>
  <dcterms:created xsi:type="dcterms:W3CDTF">2021-03-11T13:18:00Z</dcterms:created>
  <dcterms:modified xsi:type="dcterms:W3CDTF">2021-05-21T13:36:00Z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