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2FC5" w14:textId="77777777" w:rsidR="00AF1E15" w:rsidRPr="00C84914" w:rsidRDefault="00AF1E15" w:rsidP="005B177E">
      <w:pPr>
        <w:pStyle w:val="Nagwek1"/>
        <w:rPr>
          <w:rFonts w:ascii="Times New Roman" w:hAnsi="Times New Roman" w:cs="Times New Roman"/>
        </w:rPr>
      </w:pPr>
      <w:r w:rsidRPr="00C84914">
        <w:rPr>
          <w:rFonts w:ascii="Times New Roman" w:hAnsi="Times New Roman" w:cs="Times New Roman"/>
        </w:rPr>
        <w:t xml:space="preserve">KARTA </w:t>
      </w:r>
      <w:r w:rsidR="00D51922" w:rsidRPr="00C84914">
        <w:rPr>
          <w:rFonts w:ascii="Times New Roman" w:hAnsi="Times New Roman" w:cs="Times New Roman"/>
        </w:rPr>
        <w:t>ROZWIĄZANIA</w:t>
      </w:r>
      <w:r w:rsidR="00E712DD" w:rsidRPr="00C84914">
        <w:rPr>
          <w:rFonts w:ascii="Times New Roman" w:hAnsi="Times New Roman" w:cs="Times New Roman"/>
        </w:rPr>
        <w:t>:</w:t>
      </w:r>
    </w:p>
    <w:tbl>
      <w:tblPr>
        <w:tblStyle w:val="Tabela-Siatka"/>
        <w:tblW w:w="0" w:type="auto"/>
        <w:tblCellMar>
          <w:top w:w="57" w:type="dxa"/>
          <w:bottom w:w="57" w:type="dxa"/>
        </w:tblCellMar>
        <w:tblLook w:val="04A0" w:firstRow="1" w:lastRow="0" w:firstColumn="1" w:lastColumn="0" w:noHBand="0" w:noVBand="1"/>
      </w:tblPr>
      <w:tblGrid>
        <w:gridCol w:w="3510"/>
        <w:gridCol w:w="5552"/>
      </w:tblGrid>
      <w:tr w:rsidR="00F90925" w:rsidRPr="00C84914" w14:paraId="1ACE2FC8" w14:textId="77777777" w:rsidTr="00742EE1">
        <w:tc>
          <w:tcPr>
            <w:tcW w:w="3510" w:type="dxa"/>
          </w:tcPr>
          <w:p w14:paraId="1ACE2FC6" w14:textId="77777777" w:rsidR="00F90925" w:rsidRPr="00C84914" w:rsidRDefault="00F90925" w:rsidP="00ED3C71">
            <w:pPr>
              <w:rPr>
                <w:rFonts w:ascii="Times New Roman" w:hAnsi="Times New Roman" w:cs="Times New Roman"/>
                <w:sz w:val="24"/>
                <w:szCs w:val="24"/>
              </w:rPr>
            </w:pPr>
            <w:r w:rsidRPr="00C84914">
              <w:rPr>
                <w:rFonts w:ascii="Times New Roman" w:hAnsi="Times New Roman" w:cs="Times New Roman"/>
                <w:sz w:val="24"/>
                <w:szCs w:val="24"/>
              </w:rPr>
              <w:t xml:space="preserve">ID: </w:t>
            </w:r>
          </w:p>
        </w:tc>
        <w:tc>
          <w:tcPr>
            <w:tcW w:w="5552" w:type="dxa"/>
          </w:tcPr>
          <w:p w14:paraId="1ACE2FC7" w14:textId="16AB57B5" w:rsidR="00F90925" w:rsidRPr="00C84914" w:rsidRDefault="00B26944" w:rsidP="00112991">
            <w:pPr>
              <w:rPr>
                <w:rFonts w:ascii="Times New Roman" w:hAnsi="Times New Roman" w:cs="Times New Roman"/>
                <w:sz w:val="24"/>
                <w:szCs w:val="24"/>
              </w:rPr>
            </w:pPr>
            <w:r>
              <w:rPr>
                <w:rFonts w:ascii="Times New Roman" w:hAnsi="Times New Roman" w:cs="Times New Roman"/>
                <w:sz w:val="24"/>
                <w:szCs w:val="24"/>
              </w:rPr>
              <w:t>S.03-1</w:t>
            </w:r>
          </w:p>
        </w:tc>
      </w:tr>
      <w:tr w:rsidR="009B69F9" w:rsidRPr="00C84914" w14:paraId="1ACE2FCB" w14:textId="77777777" w:rsidTr="00742EE1">
        <w:tc>
          <w:tcPr>
            <w:tcW w:w="3510" w:type="dxa"/>
          </w:tcPr>
          <w:p w14:paraId="1ACE2FC9" w14:textId="77777777" w:rsidR="009B69F9" w:rsidRPr="00C84914" w:rsidRDefault="00560733" w:rsidP="00ED3C71">
            <w:pPr>
              <w:rPr>
                <w:rFonts w:ascii="Times New Roman" w:hAnsi="Times New Roman" w:cs="Times New Roman"/>
                <w:sz w:val="24"/>
                <w:szCs w:val="24"/>
              </w:rPr>
            </w:pPr>
            <w:r w:rsidRPr="00C84914">
              <w:rPr>
                <w:rFonts w:ascii="Times New Roman" w:hAnsi="Times New Roman" w:cs="Times New Roman"/>
                <w:sz w:val="24"/>
                <w:szCs w:val="24"/>
              </w:rPr>
              <w:t>Typ instrumentarium</w:t>
            </w:r>
            <w:r w:rsidR="009B69F9" w:rsidRPr="00C84914">
              <w:rPr>
                <w:rFonts w:ascii="Times New Roman" w:hAnsi="Times New Roman" w:cs="Times New Roman"/>
                <w:sz w:val="24"/>
                <w:szCs w:val="24"/>
              </w:rPr>
              <w:t xml:space="preserve"> (a do f)</w:t>
            </w:r>
            <w:r w:rsidR="00C377DE" w:rsidRPr="00C84914">
              <w:rPr>
                <w:rStyle w:val="Odwoanieprzypisudolnego"/>
                <w:rFonts w:ascii="Times New Roman" w:hAnsi="Times New Roman" w:cs="Times New Roman"/>
                <w:sz w:val="24"/>
                <w:szCs w:val="24"/>
              </w:rPr>
              <w:t xml:space="preserve"> </w:t>
            </w:r>
            <w:r w:rsidR="00C377DE" w:rsidRPr="00C84914">
              <w:rPr>
                <w:rStyle w:val="Odwoanieprzypisudolnego"/>
                <w:rFonts w:ascii="Times New Roman" w:hAnsi="Times New Roman" w:cs="Times New Roman"/>
                <w:sz w:val="24"/>
                <w:szCs w:val="24"/>
              </w:rPr>
              <w:footnoteReference w:id="1"/>
            </w:r>
          </w:p>
        </w:tc>
        <w:tc>
          <w:tcPr>
            <w:tcW w:w="5552" w:type="dxa"/>
          </w:tcPr>
          <w:p w14:paraId="1ACE2FCA" w14:textId="77777777" w:rsidR="009B69F9" w:rsidRPr="00C84914" w:rsidRDefault="000A49E8" w:rsidP="00ED3C71">
            <w:pPr>
              <w:rPr>
                <w:rFonts w:ascii="Times New Roman" w:hAnsi="Times New Roman" w:cs="Times New Roman"/>
                <w:sz w:val="24"/>
                <w:szCs w:val="24"/>
              </w:rPr>
            </w:pPr>
            <w:r>
              <w:rPr>
                <w:rFonts w:ascii="Times New Roman" w:hAnsi="Times New Roman" w:cs="Times New Roman"/>
                <w:sz w:val="24"/>
                <w:szCs w:val="24"/>
              </w:rPr>
              <w:t>a, b</w:t>
            </w:r>
            <w:r w:rsidR="00EF1AE5">
              <w:rPr>
                <w:rFonts w:ascii="Times New Roman" w:hAnsi="Times New Roman" w:cs="Times New Roman"/>
                <w:sz w:val="24"/>
                <w:szCs w:val="24"/>
              </w:rPr>
              <w:t>, c, d</w:t>
            </w:r>
          </w:p>
        </w:tc>
      </w:tr>
      <w:tr w:rsidR="00663CD8" w:rsidRPr="00C84914" w14:paraId="1ACE2FCE" w14:textId="77777777" w:rsidTr="00742EE1">
        <w:tc>
          <w:tcPr>
            <w:tcW w:w="3510" w:type="dxa"/>
          </w:tcPr>
          <w:p w14:paraId="1ACE2FCC" w14:textId="77777777" w:rsidR="00663CD8" w:rsidRPr="00C84914" w:rsidRDefault="00EC3F3C" w:rsidP="003F38E2">
            <w:pPr>
              <w:rPr>
                <w:rFonts w:ascii="Times New Roman" w:hAnsi="Times New Roman" w:cs="Times New Roman"/>
                <w:sz w:val="24"/>
                <w:szCs w:val="24"/>
              </w:rPr>
            </w:pPr>
            <w:r w:rsidRPr="00C84914">
              <w:rPr>
                <w:rFonts w:ascii="Times New Roman" w:hAnsi="Times New Roman" w:cs="Times New Roman"/>
                <w:sz w:val="24"/>
                <w:szCs w:val="24"/>
              </w:rPr>
              <w:t>Kategoria rozwiązania</w:t>
            </w:r>
            <w:r w:rsidR="00663CD8" w:rsidRPr="00C84914">
              <w:rPr>
                <w:rFonts w:ascii="Times New Roman" w:hAnsi="Times New Roman" w:cs="Times New Roman"/>
                <w:sz w:val="24"/>
                <w:szCs w:val="24"/>
              </w:rPr>
              <w:t xml:space="preserve"> </w:t>
            </w:r>
            <w:r w:rsidR="00EE1A5C" w:rsidRPr="00C84914">
              <w:rPr>
                <w:rFonts w:ascii="Times New Roman" w:hAnsi="Times New Roman" w:cs="Times New Roman"/>
                <w:sz w:val="24"/>
                <w:szCs w:val="24"/>
              </w:rPr>
              <w:t>(</w:t>
            </w:r>
            <w:r w:rsidR="00B07FEB" w:rsidRPr="00C84914">
              <w:rPr>
                <w:rFonts w:ascii="Times New Roman" w:hAnsi="Times New Roman" w:cs="Times New Roman"/>
                <w:sz w:val="24"/>
                <w:szCs w:val="24"/>
              </w:rPr>
              <w:t>A</w:t>
            </w:r>
            <w:r w:rsidR="00EE1A5C" w:rsidRPr="00C84914">
              <w:rPr>
                <w:rFonts w:ascii="Times New Roman" w:hAnsi="Times New Roman" w:cs="Times New Roman"/>
                <w:sz w:val="24"/>
                <w:szCs w:val="24"/>
              </w:rPr>
              <w:t xml:space="preserve"> do </w:t>
            </w:r>
            <w:r w:rsidR="00B07FEB" w:rsidRPr="00C84914">
              <w:rPr>
                <w:rFonts w:ascii="Times New Roman" w:hAnsi="Times New Roman" w:cs="Times New Roman"/>
                <w:sz w:val="24"/>
                <w:szCs w:val="24"/>
              </w:rPr>
              <w:t>C</w:t>
            </w:r>
            <w:r w:rsidR="00EE1A5C" w:rsidRPr="00C84914">
              <w:rPr>
                <w:rFonts w:ascii="Times New Roman" w:hAnsi="Times New Roman" w:cs="Times New Roman"/>
                <w:sz w:val="24"/>
                <w:szCs w:val="24"/>
              </w:rPr>
              <w:t>)</w:t>
            </w:r>
            <w:r w:rsidR="00C377DE" w:rsidRPr="00C84914">
              <w:rPr>
                <w:rStyle w:val="Odwoanieprzypisudolnego"/>
                <w:rFonts w:ascii="Times New Roman" w:hAnsi="Times New Roman" w:cs="Times New Roman"/>
                <w:sz w:val="24"/>
                <w:szCs w:val="24"/>
              </w:rPr>
              <w:footnoteReference w:id="2"/>
            </w:r>
          </w:p>
        </w:tc>
        <w:tc>
          <w:tcPr>
            <w:tcW w:w="5552" w:type="dxa"/>
          </w:tcPr>
          <w:p w14:paraId="1ACE2FCD" w14:textId="77777777" w:rsidR="00663CD8" w:rsidRPr="00C84914" w:rsidRDefault="000A49E8" w:rsidP="003F38E2">
            <w:pPr>
              <w:rPr>
                <w:rFonts w:ascii="Times New Roman" w:hAnsi="Times New Roman" w:cs="Times New Roman"/>
                <w:sz w:val="24"/>
                <w:szCs w:val="24"/>
              </w:rPr>
            </w:pPr>
            <w:r>
              <w:rPr>
                <w:rFonts w:ascii="Times New Roman" w:hAnsi="Times New Roman" w:cs="Times New Roman"/>
                <w:sz w:val="24"/>
                <w:szCs w:val="24"/>
              </w:rPr>
              <w:t>A, B</w:t>
            </w:r>
            <w:r w:rsidR="00EF1AE5">
              <w:rPr>
                <w:rFonts w:ascii="Times New Roman" w:hAnsi="Times New Roman" w:cs="Times New Roman"/>
                <w:sz w:val="24"/>
                <w:szCs w:val="24"/>
              </w:rPr>
              <w:t>, C</w:t>
            </w:r>
          </w:p>
        </w:tc>
      </w:tr>
      <w:tr w:rsidR="00F90925" w:rsidRPr="00C84914" w14:paraId="1ACE2FD1" w14:textId="77777777" w:rsidTr="00742EE1">
        <w:tc>
          <w:tcPr>
            <w:tcW w:w="3510" w:type="dxa"/>
          </w:tcPr>
          <w:p w14:paraId="1ACE2FCF" w14:textId="77777777" w:rsidR="00F90925" w:rsidRPr="00C84914" w:rsidRDefault="00F90925" w:rsidP="003F38E2">
            <w:pPr>
              <w:rPr>
                <w:rFonts w:ascii="Times New Roman" w:hAnsi="Times New Roman" w:cs="Times New Roman"/>
                <w:sz w:val="24"/>
                <w:szCs w:val="24"/>
              </w:rPr>
            </w:pPr>
            <w:r w:rsidRPr="00C84914">
              <w:rPr>
                <w:rFonts w:ascii="Times New Roman" w:hAnsi="Times New Roman" w:cs="Times New Roman"/>
                <w:sz w:val="24"/>
                <w:szCs w:val="24"/>
              </w:rPr>
              <w:t xml:space="preserve">Data aktualizacji wpisu: </w:t>
            </w:r>
          </w:p>
        </w:tc>
        <w:tc>
          <w:tcPr>
            <w:tcW w:w="5552" w:type="dxa"/>
          </w:tcPr>
          <w:p w14:paraId="1ACE2FD0" w14:textId="77777777" w:rsidR="00F90925" w:rsidRPr="00C84914" w:rsidRDefault="004B3C62" w:rsidP="003F38E2">
            <w:pPr>
              <w:rPr>
                <w:rFonts w:ascii="Times New Roman" w:hAnsi="Times New Roman" w:cs="Times New Roman"/>
                <w:sz w:val="24"/>
                <w:szCs w:val="24"/>
              </w:rPr>
            </w:pPr>
            <w:r>
              <w:rPr>
                <w:rFonts w:ascii="Times New Roman" w:hAnsi="Times New Roman" w:cs="Times New Roman"/>
                <w:sz w:val="24"/>
                <w:szCs w:val="24"/>
              </w:rPr>
              <w:t>21</w:t>
            </w:r>
            <w:r w:rsidR="00087F8A">
              <w:rPr>
                <w:rFonts w:ascii="Times New Roman" w:hAnsi="Times New Roman" w:cs="Times New Roman"/>
                <w:sz w:val="24"/>
                <w:szCs w:val="24"/>
              </w:rPr>
              <w:t>.05</w:t>
            </w:r>
          </w:p>
        </w:tc>
      </w:tr>
      <w:tr w:rsidR="007F2B23" w:rsidRPr="00C84914" w14:paraId="1ACE2FD4" w14:textId="77777777" w:rsidTr="00742EE1">
        <w:tc>
          <w:tcPr>
            <w:tcW w:w="3510" w:type="dxa"/>
          </w:tcPr>
          <w:p w14:paraId="1ACE2FD2" w14:textId="77777777" w:rsidR="007F2B23" w:rsidRPr="00C84914" w:rsidRDefault="00D543AC" w:rsidP="003F38E2">
            <w:pPr>
              <w:jc w:val="left"/>
              <w:rPr>
                <w:rFonts w:ascii="Times New Roman" w:hAnsi="Times New Roman" w:cs="Times New Roman"/>
                <w:sz w:val="24"/>
                <w:szCs w:val="24"/>
              </w:rPr>
            </w:pPr>
            <w:r w:rsidRPr="00C84914">
              <w:rPr>
                <w:rFonts w:ascii="Times New Roman" w:hAnsi="Times New Roman" w:cs="Times New Roman"/>
                <w:sz w:val="24"/>
                <w:szCs w:val="24"/>
              </w:rPr>
              <w:t>ID i nazwa wyzwania, którego dotyczy proponowane rozwiązanie:</w:t>
            </w:r>
          </w:p>
        </w:tc>
        <w:tc>
          <w:tcPr>
            <w:tcW w:w="5552" w:type="dxa"/>
          </w:tcPr>
          <w:p w14:paraId="1ACE2FD3" w14:textId="77777777" w:rsidR="007F2B23" w:rsidRPr="00204614" w:rsidRDefault="00C834A2" w:rsidP="00204614">
            <w:pPr>
              <w:rPr>
                <w:rFonts w:ascii="Times New Roman" w:hAnsi="Times New Roman" w:cs="Times New Roman"/>
                <w:sz w:val="24"/>
                <w:szCs w:val="24"/>
              </w:rPr>
            </w:pPr>
            <w:r>
              <w:rPr>
                <w:rFonts w:ascii="Times New Roman" w:hAnsi="Times New Roman" w:cs="Times New Roman"/>
                <w:bCs/>
                <w:sz w:val="24"/>
                <w:szCs w:val="24"/>
              </w:rPr>
              <w:t>O</w:t>
            </w:r>
            <w:r w:rsidR="00204614" w:rsidRPr="00204614">
              <w:rPr>
                <w:rFonts w:ascii="Times New Roman" w:hAnsi="Times New Roman" w:cs="Times New Roman"/>
                <w:bCs/>
                <w:sz w:val="24"/>
                <w:szCs w:val="24"/>
              </w:rPr>
              <w:t>chrona jakości powietrza w miastach</w:t>
            </w:r>
          </w:p>
        </w:tc>
      </w:tr>
      <w:tr w:rsidR="00F90925" w:rsidRPr="00C84914" w14:paraId="1ACE2FD7" w14:textId="77777777" w:rsidTr="00742EE1">
        <w:tc>
          <w:tcPr>
            <w:tcW w:w="3510" w:type="dxa"/>
          </w:tcPr>
          <w:p w14:paraId="1ACE2FD5" w14:textId="77777777" w:rsidR="00F90925" w:rsidRPr="00C84914" w:rsidRDefault="00F90925" w:rsidP="003F38E2">
            <w:pPr>
              <w:rPr>
                <w:rFonts w:ascii="Times New Roman" w:hAnsi="Times New Roman" w:cs="Times New Roman"/>
                <w:sz w:val="24"/>
                <w:szCs w:val="24"/>
              </w:rPr>
            </w:pPr>
            <w:r w:rsidRPr="00C84914">
              <w:rPr>
                <w:rFonts w:ascii="Times New Roman" w:hAnsi="Times New Roman" w:cs="Times New Roman"/>
                <w:sz w:val="24"/>
                <w:szCs w:val="24"/>
              </w:rPr>
              <w:t xml:space="preserve">Autorzy: </w:t>
            </w:r>
          </w:p>
        </w:tc>
        <w:tc>
          <w:tcPr>
            <w:tcW w:w="5552" w:type="dxa"/>
          </w:tcPr>
          <w:p w14:paraId="1ACE2FD6" w14:textId="77777777" w:rsidR="00F90925" w:rsidRPr="00C84914" w:rsidRDefault="00417DC6" w:rsidP="003F38E2">
            <w:pPr>
              <w:rPr>
                <w:rFonts w:ascii="Times New Roman" w:hAnsi="Times New Roman" w:cs="Times New Roman"/>
                <w:sz w:val="24"/>
                <w:szCs w:val="24"/>
              </w:rPr>
            </w:pPr>
            <w:r>
              <w:rPr>
                <w:rFonts w:ascii="Times New Roman" w:hAnsi="Times New Roman" w:cs="Times New Roman"/>
                <w:sz w:val="24"/>
                <w:szCs w:val="24"/>
              </w:rPr>
              <w:t>Agnieszka Sobol</w:t>
            </w:r>
          </w:p>
        </w:tc>
      </w:tr>
      <w:tr w:rsidR="00F90925" w:rsidRPr="00C84914" w14:paraId="1ACE2FDA" w14:textId="77777777" w:rsidTr="00742EE1">
        <w:tc>
          <w:tcPr>
            <w:tcW w:w="3510" w:type="dxa"/>
            <w:tcBorders>
              <w:bottom w:val="single" w:sz="4" w:space="0" w:color="auto"/>
            </w:tcBorders>
          </w:tcPr>
          <w:p w14:paraId="1ACE2FD8" w14:textId="77777777" w:rsidR="00F90925" w:rsidRPr="00C84914" w:rsidRDefault="00F90925" w:rsidP="003F38E2">
            <w:pPr>
              <w:rPr>
                <w:rFonts w:ascii="Times New Roman" w:hAnsi="Times New Roman" w:cs="Times New Roman"/>
                <w:sz w:val="24"/>
                <w:szCs w:val="24"/>
              </w:rPr>
            </w:pPr>
            <w:r w:rsidRPr="00C84914">
              <w:rPr>
                <w:rFonts w:ascii="Times New Roman" w:hAnsi="Times New Roman" w:cs="Times New Roman"/>
                <w:sz w:val="24"/>
                <w:szCs w:val="24"/>
              </w:rPr>
              <w:t>Grupa ekspercka:</w:t>
            </w:r>
          </w:p>
        </w:tc>
        <w:tc>
          <w:tcPr>
            <w:tcW w:w="5552" w:type="dxa"/>
            <w:tcBorders>
              <w:bottom w:val="single" w:sz="4" w:space="0" w:color="auto"/>
            </w:tcBorders>
          </w:tcPr>
          <w:p w14:paraId="1ACE2FD9" w14:textId="77777777" w:rsidR="00F90925" w:rsidRPr="00C84914" w:rsidRDefault="009837D0" w:rsidP="003F38E2">
            <w:pPr>
              <w:rPr>
                <w:rFonts w:ascii="Times New Roman" w:hAnsi="Times New Roman" w:cs="Times New Roman"/>
                <w:sz w:val="24"/>
                <w:szCs w:val="24"/>
              </w:rPr>
            </w:pPr>
            <w:r>
              <w:rPr>
                <w:rFonts w:ascii="Times New Roman" w:hAnsi="Times New Roman" w:cs="Times New Roman"/>
                <w:sz w:val="24"/>
                <w:szCs w:val="24"/>
              </w:rPr>
              <w:t>Ś</w:t>
            </w:r>
            <w:r w:rsidRPr="007F3C38">
              <w:rPr>
                <w:rFonts w:ascii="Times New Roman" w:hAnsi="Times New Roman" w:cs="Times New Roman"/>
                <w:sz w:val="24"/>
                <w:szCs w:val="24"/>
              </w:rPr>
              <w:t>rodowisko i adaptacja do zmian klimatu</w:t>
            </w:r>
          </w:p>
        </w:tc>
      </w:tr>
    </w:tbl>
    <w:p w14:paraId="1ACE2FDB" w14:textId="77777777" w:rsidR="00AF1E15" w:rsidRDefault="00AF1E15" w:rsidP="00AA1D55">
      <w:pPr>
        <w:pStyle w:val="Nagwek3"/>
        <w:spacing w:before="160"/>
        <w:ind w:left="714" w:hanging="357"/>
        <w:rPr>
          <w:rFonts w:ascii="Times New Roman" w:hAnsi="Times New Roman" w:cs="Times New Roman"/>
          <w:sz w:val="24"/>
          <w:szCs w:val="24"/>
        </w:rPr>
      </w:pPr>
      <w:r w:rsidRPr="00C84914">
        <w:rPr>
          <w:rFonts w:ascii="Times New Roman" w:hAnsi="Times New Roman" w:cs="Times New Roman"/>
          <w:sz w:val="24"/>
          <w:szCs w:val="24"/>
        </w:rPr>
        <w:t xml:space="preserve">Nazwa </w:t>
      </w:r>
      <w:r w:rsidR="00285A78" w:rsidRPr="00C84914">
        <w:rPr>
          <w:rFonts w:ascii="Times New Roman" w:hAnsi="Times New Roman" w:cs="Times New Roman"/>
          <w:sz w:val="24"/>
          <w:szCs w:val="24"/>
        </w:rPr>
        <w:t>rozwiązania</w:t>
      </w:r>
      <w:r w:rsidR="00F518CE" w:rsidRPr="00C84914">
        <w:rPr>
          <w:rFonts w:ascii="Times New Roman" w:hAnsi="Times New Roman" w:cs="Times New Roman"/>
          <w:sz w:val="24"/>
          <w:szCs w:val="24"/>
        </w:rPr>
        <w:t xml:space="preserve"> [</w:t>
      </w:r>
      <w:r w:rsidR="00CA3D2D" w:rsidRPr="00C84914">
        <w:rPr>
          <w:rFonts w:ascii="Times New Roman" w:hAnsi="Times New Roman" w:cs="Times New Roman"/>
          <w:sz w:val="24"/>
          <w:szCs w:val="24"/>
        </w:rPr>
        <w:t xml:space="preserve">200 </w:t>
      </w:r>
      <w:proofErr w:type="spellStart"/>
      <w:r w:rsidR="00CA3D2D" w:rsidRPr="00C84914">
        <w:rPr>
          <w:rFonts w:ascii="Times New Roman" w:hAnsi="Times New Roman" w:cs="Times New Roman"/>
          <w:sz w:val="24"/>
          <w:szCs w:val="24"/>
        </w:rPr>
        <w:t>zn</w:t>
      </w:r>
      <w:proofErr w:type="spellEnd"/>
      <w:r w:rsidR="007252E4" w:rsidRPr="00C84914">
        <w:rPr>
          <w:rFonts w:ascii="Times New Roman" w:hAnsi="Times New Roman" w:cs="Times New Roman"/>
          <w:sz w:val="24"/>
          <w:szCs w:val="24"/>
        </w:rPr>
        <w:t>.</w:t>
      </w:r>
      <w:r w:rsidR="00CA3D2D" w:rsidRPr="00C84914">
        <w:rPr>
          <w:rFonts w:ascii="Times New Roman" w:hAnsi="Times New Roman" w:cs="Times New Roman"/>
          <w:sz w:val="24"/>
          <w:szCs w:val="24"/>
        </w:rPr>
        <w:t>]</w:t>
      </w:r>
      <w:r w:rsidRPr="00C84914">
        <w:rPr>
          <w:rFonts w:ascii="Times New Roman" w:hAnsi="Times New Roman" w:cs="Times New Roman"/>
          <w:sz w:val="24"/>
          <w:szCs w:val="24"/>
        </w:rPr>
        <w:t>:</w:t>
      </w:r>
    </w:p>
    <w:p w14:paraId="1ACE2FDC" w14:textId="77777777" w:rsidR="00FA7923" w:rsidRDefault="00B40352" w:rsidP="00112991">
      <w:pPr>
        <w:pStyle w:val="NormalnyWeb"/>
        <w:ind w:left="426"/>
        <w:jc w:val="both"/>
        <w:rPr>
          <w:rFonts w:eastAsia="+mn-ea"/>
          <w:b/>
        </w:rPr>
      </w:pPr>
      <w:r w:rsidRPr="00B40352">
        <w:rPr>
          <w:rFonts w:eastAsia="+mn-ea"/>
          <w:b/>
        </w:rPr>
        <w:t xml:space="preserve">Integracja </w:t>
      </w:r>
      <w:r w:rsidR="00FA7923">
        <w:rPr>
          <w:rFonts w:eastAsia="+mn-ea"/>
          <w:b/>
        </w:rPr>
        <w:t>planowania</w:t>
      </w:r>
      <w:r w:rsidRPr="00B40352">
        <w:rPr>
          <w:rFonts w:eastAsia="+mn-ea"/>
          <w:b/>
        </w:rPr>
        <w:t xml:space="preserve"> z zakresu ochrony powietrza</w:t>
      </w:r>
      <w:r w:rsidR="00FA7923">
        <w:rPr>
          <w:rFonts w:eastAsia="+mn-ea"/>
          <w:b/>
        </w:rPr>
        <w:t xml:space="preserve"> w miastach</w:t>
      </w:r>
    </w:p>
    <w:p w14:paraId="1ACE2FDD" w14:textId="77777777" w:rsidR="00944C6D" w:rsidRPr="00C84914" w:rsidRDefault="00353F0C" w:rsidP="003F38E2">
      <w:pPr>
        <w:pStyle w:val="Nagwek3"/>
        <w:rPr>
          <w:rFonts w:ascii="Times New Roman" w:hAnsi="Times New Roman" w:cs="Times New Roman"/>
          <w:sz w:val="24"/>
          <w:szCs w:val="24"/>
        </w:rPr>
      </w:pPr>
      <w:r w:rsidRPr="00C84914">
        <w:rPr>
          <w:rFonts w:ascii="Times New Roman" w:hAnsi="Times New Roman" w:cs="Times New Roman"/>
          <w:sz w:val="24"/>
          <w:szCs w:val="24"/>
        </w:rPr>
        <w:t>Zwięzła</w:t>
      </w:r>
      <w:r w:rsidR="000D7675" w:rsidRPr="00C84914">
        <w:rPr>
          <w:rFonts w:ascii="Times New Roman" w:hAnsi="Times New Roman" w:cs="Times New Roman"/>
          <w:sz w:val="24"/>
          <w:szCs w:val="24"/>
        </w:rPr>
        <w:t xml:space="preserve"> c</w:t>
      </w:r>
      <w:r w:rsidR="00944C6D" w:rsidRPr="00C84914">
        <w:rPr>
          <w:rFonts w:ascii="Times New Roman" w:hAnsi="Times New Roman" w:cs="Times New Roman"/>
          <w:sz w:val="24"/>
          <w:szCs w:val="24"/>
        </w:rPr>
        <w:t xml:space="preserve">harakterystyka </w:t>
      </w:r>
      <w:r w:rsidR="002F3DED" w:rsidRPr="00C84914">
        <w:rPr>
          <w:rFonts w:ascii="Times New Roman" w:hAnsi="Times New Roman" w:cs="Times New Roman"/>
          <w:sz w:val="24"/>
          <w:szCs w:val="24"/>
        </w:rPr>
        <w:t xml:space="preserve">proponowanego </w:t>
      </w:r>
      <w:r w:rsidR="00285A78" w:rsidRPr="00C84914">
        <w:rPr>
          <w:rFonts w:ascii="Times New Roman" w:hAnsi="Times New Roman" w:cs="Times New Roman"/>
          <w:sz w:val="24"/>
          <w:szCs w:val="24"/>
        </w:rPr>
        <w:t>rozwiązania</w:t>
      </w:r>
      <w:r w:rsidR="007252E4" w:rsidRPr="00C84914">
        <w:rPr>
          <w:rFonts w:ascii="Times New Roman" w:hAnsi="Times New Roman" w:cs="Times New Roman"/>
          <w:sz w:val="24"/>
          <w:szCs w:val="24"/>
        </w:rPr>
        <w:t xml:space="preserve"> [2000 </w:t>
      </w:r>
      <w:proofErr w:type="spellStart"/>
      <w:r w:rsidR="007252E4" w:rsidRPr="00C84914">
        <w:rPr>
          <w:rFonts w:ascii="Times New Roman" w:hAnsi="Times New Roman" w:cs="Times New Roman"/>
          <w:sz w:val="24"/>
          <w:szCs w:val="24"/>
        </w:rPr>
        <w:t>zn</w:t>
      </w:r>
      <w:proofErr w:type="spellEnd"/>
      <w:r w:rsidR="007252E4" w:rsidRPr="00C84914">
        <w:rPr>
          <w:rFonts w:ascii="Times New Roman" w:hAnsi="Times New Roman" w:cs="Times New Roman"/>
          <w:sz w:val="24"/>
          <w:szCs w:val="24"/>
        </w:rPr>
        <w:t>.]</w:t>
      </w:r>
      <w:r w:rsidR="00944C6D" w:rsidRPr="00C84914">
        <w:rPr>
          <w:rFonts w:ascii="Times New Roman" w:hAnsi="Times New Roman" w:cs="Times New Roman"/>
          <w:sz w:val="24"/>
          <w:szCs w:val="24"/>
        </w:rPr>
        <w:t>:</w:t>
      </w:r>
    </w:p>
    <w:p w14:paraId="1ACE2FDE" w14:textId="77777777" w:rsidR="007F2381" w:rsidRDefault="007F2381" w:rsidP="007F2381">
      <w:pPr>
        <w:pStyle w:val="NormalnyWeb"/>
        <w:ind w:left="426"/>
        <w:jc w:val="both"/>
      </w:pPr>
      <w:r>
        <w:rPr>
          <w:bCs/>
        </w:rPr>
        <w:t>Niezbędne jest w</w:t>
      </w:r>
      <w:r w:rsidRPr="00134F69">
        <w:rPr>
          <w:bCs/>
        </w:rPr>
        <w:t>yposażenie samorządów w systemowe instrumenty wsparcia programowego, instytucjonalnego i finansowego umożliwiające wdrażanie wypracowywanych lokalnie rozwiązań ochrony powietrza.</w:t>
      </w:r>
      <w:r w:rsidRPr="00134F69">
        <w:t xml:space="preserve"> </w:t>
      </w:r>
      <w:r>
        <w:t>Konieczne jest w</w:t>
      </w:r>
      <w:r w:rsidRPr="00134F69">
        <w:t xml:space="preserve">zmocnienie i integracja programów ochrony powietrza (POP) i uchwał antysmogowych z </w:t>
      </w:r>
      <w:r>
        <w:t>dokumentami szczebla lokalnego oraz w celu zapewnienia spójności z dokumentami krajowymi. Jednym ze strategicznych kierunków jest wskazany w Polityce Energetycznej Państwa 2040 (PEP2040) cel 100% gmin posiadających dokument planowania energetycznego w 2030 roku w relacji do 23% na 2018 rok.</w:t>
      </w:r>
    </w:p>
    <w:p w14:paraId="1ACE2FDF" w14:textId="77777777" w:rsidR="00270A69" w:rsidRDefault="00465C0A" w:rsidP="00617D87">
      <w:pPr>
        <w:pStyle w:val="NormalnyWeb"/>
        <w:ind w:left="426"/>
        <w:jc w:val="both"/>
      </w:pPr>
      <w:r>
        <w:t>Integracja działań z zakresu ochrony powietrza wymaga zmian legislacyjnych. Aktualne regulacje tworzą bariery prawne dla wprowadzania przez gminy zakazów stosowania pieców na paliwa stałe na etapie opracowania planów zagospodarowania przestrzennego.</w:t>
      </w:r>
    </w:p>
    <w:p w14:paraId="1ACE2FE0" w14:textId="77777777" w:rsidR="00A670D3" w:rsidRDefault="00A670D3" w:rsidP="00617D87">
      <w:pPr>
        <w:pStyle w:val="NormalnyWeb"/>
        <w:ind w:left="426"/>
        <w:jc w:val="both"/>
      </w:pPr>
      <w:r>
        <w:t xml:space="preserve">Istotna kwestia dotyczy ponadto konieczności uwzględniania w prawodawstwie krajowym </w:t>
      </w:r>
      <w:r w:rsidRPr="00846D85">
        <w:t>(Dz. U 2001 n</w:t>
      </w:r>
      <w:r>
        <w:t>r 62 poz. 627, tekst jednolity) unijnych wymogów Dyrektywy 2008/50/WE w zakresie możliwości składania skarg do sądów krajowych przez osoby fizyczne i prawne bezpośrednio dotknięte przekroczeniem limitów zanieczyszczenia powietrza.</w:t>
      </w:r>
    </w:p>
    <w:p w14:paraId="1ACE2FE1" w14:textId="77777777" w:rsidR="00897D26" w:rsidRDefault="00897D26" w:rsidP="000A49E8">
      <w:pPr>
        <w:pStyle w:val="NormalnyWeb"/>
        <w:ind w:left="426"/>
        <w:jc w:val="both"/>
      </w:pPr>
      <w:r w:rsidRPr="00134F69">
        <w:t xml:space="preserve">Ponadto niezbędne jest wzmocnienie wsparcia metodycznego i finansowego przez administrację centralną w zakresie opracowania </w:t>
      </w:r>
      <w:r>
        <w:t>dokumentów strategicznych z zakresu ochrony powietrza</w:t>
      </w:r>
      <w:r w:rsidRPr="00134F69">
        <w:t>. Szczególnie istotne jest wypracowanie jednolitych minimalnych standardów w zakresie metodologii opracowywania tego typu dokumentów, w tym wskazanie zestawu obligatoryjnych wskaźników.</w:t>
      </w:r>
    </w:p>
    <w:p w14:paraId="1ACE2FE2" w14:textId="77777777" w:rsidR="009A01C2" w:rsidRPr="00C84914" w:rsidRDefault="00471AAC" w:rsidP="00EA0429">
      <w:pPr>
        <w:pStyle w:val="Nagwek3"/>
        <w:rPr>
          <w:rFonts w:ascii="Times New Roman" w:hAnsi="Times New Roman" w:cs="Times New Roman"/>
          <w:sz w:val="24"/>
          <w:szCs w:val="24"/>
        </w:rPr>
      </w:pPr>
      <w:r w:rsidRPr="00C84914">
        <w:rPr>
          <w:rFonts w:ascii="Times New Roman" w:hAnsi="Times New Roman" w:cs="Times New Roman"/>
          <w:sz w:val="24"/>
          <w:szCs w:val="24"/>
        </w:rPr>
        <w:t>Działania szczegółowe</w:t>
      </w:r>
      <w:r w:rsidR="00CA288F" w:rsidRPr="00C84914">
        <w:rPr>
          <w:rFonts w:ascii="Times New Roman" w:hAnsi="Times New Roman" w:cs="Times New Roman"/>
          <w:sz w:val="24"/>
          <w:szCs w:val="24"/>
        </w:rPr>
        <w:t>, narzędzia interwencji</w:t>
      </w:r>
      <w:r w:rsidR="001E1C94" w:rsidRPr="00C84914">
        <w:rPr>
          <w:rFonts w:ascii="Times New Roman" w:hAnsi="Times New Roman" w:cs="Times New Roman"/>
          <w:sz w:val="24"/>
          <w:szCs w:val="24"/>
        </w:rPr>
        <w:t xml:space="preserve"> – szczegółowy opis</w:t>
      </w:r>
      <w:r w:rsidRPr="00C84914">
        <w:rPr>
          <w:rFonts w:ascii="Times New Roman" w:hAnsi="Times New Roman" w:cs="Times New Roman"/>
          <w:sz w:val="24"/>
          <w:szCs w:val="24"/>
        </w:rPr>
        <w:t>:</w:t>
      </w:r>
      <w:r w:rsidR="00C71B9E" w:rsidRPr="00C84914">
        <w:rPr>
          <w:rFonts w:ascii="Times New Roman" w:hAnsi="Times New Roman" w:cs="Times New Roman"/>
          <w:sz w:val="24"/>
          <w:szCs w:val="24"/>
        </w:rPr>
        <w:t xml:space="preserve"> [5000 </w:t>
      </w:r>
      <w:proofErr w:type="spellStart"/>
      <w:r w:rsidR="00C71B9E" w:rsidRPr="00C84914">
        <w:rPr>
          <w:rFonts w:ascii="Times New Roman" w:hAnsi="Times New Roman" w:cs="Times New Roman"/>
          <w:sz w:val="24"/>
          <w:szCs w:val="24"/>
        </w:rPr>
        <w:t>zn</w:t>
      </w:r>
      <w:proofErr w:type="spellEnd"/>
      <w:r w:rsidR="00C71B9E" w:rsidRPr="00C84914">
        <w:rPr>
          <w:rFonts w:ascii="Times New Roman" w:hAnsi="Times New Roman" w:cs="Times New Roman"/>
          <w:sz w:val="24"/>
          <w:szCs w:val="24"/>
        </w:rPr>
        <w:t>.]</w:t>
      </w:r>
      <w:r w:rsidR="00251647">
        <w:rPr>
          <w:rStyle w:val="Odwoanieprzypisudolnego"/>
        </w:rPr>
        <w:footnoteRef/>
      </w:r>
    </w:p>
    <w:p w14:paraId="1ACE2FE3" w14:textId="77777777" w:rsidR="00AE5793" w:rsidRDefault="00AE5793" w:rsidP="00AE5793">
      <w:pPr>
        <w:pStyle w:val="paragraph"/>
        <w:ind w:left="426"/>
        <w:jc w:val="both"/>
        <w:textAlignment w:val="baseline"/>
      </w:pPr>
      <w:r>
        <w:lastRenderedPageBreak/>
        <w:t>S</w:t>
      </w:r>
      <w:r w:rsidRPr="00DD24C0">
        <w:t xml:space="preserve">kuteczność realizacji </w:t>
      </w:r>
      <w:r>
        <w:t>działań w kierunku</w:t>
      </w:r>
      <w:r w:rsidRPr="00DD24C0">
        <w:t xml:space="preserve"> ochrony powietrza </w:t>
      </w:r>
      <w:r>
        <w:t xml:space="preserve">w miastach </w:t>
      </w:r>
      <w:r w:rsidRPr="00DD24C0">
        <w:t>zależna jest od integracji działań na wszystkich szczeblach administracji publicznej oraz promocji systemu wsparcia finansowego i pomocy doradczej dla miesz</w:t>
      </w:r>
      <w:r>
        <w:t xml:space="preserve">kańców, które są niedostateczne. </w:t>
      </w:r>
      <w:r w:rsidRPr="00324BF8">
        <w:t>Wzmocnienie instytucjonalne i uproszczenia procedury, stwarza warunki do zwiększenia zasięgu jego rzeczywistego wykorzystania. Wojewódzkie Programy Ochrony Powietrza i ich zapisy nie znajdują odzwierciedlenia w polityce lokalnej. Również brak koordynacji polityki makroekonomicznej skutkuje obniżeniem efektywności stosowanych instrumentów na poziomie lokalnym (gospodarstwa domowe) i regionalnym (</w:t>
      </w:r>
      <w:r w:rsidR="0027174B">
        <w:t xml:space="preserve">np. </w:t>
      </w:r>
      <w:r w:rsidRPr="00324BF8">
        <w:t>wprowadzenie taryf antysmogowych w taryfie nocnej wpłynęło na obniżenie cen ogrzewania prądem, jednak po krótkim okresie stabilnej sytuacji, wprowadzenie rządowej regulacji cen energii elektrycznej spowodowało, iż taryfa antysmogowa nocna wzrosła niewspółmiernie do wszystkich pozostałych taryf.)</w:t>
      </w:r>
      <w:r w:rsidR="0027174B">
        <w:t xml:space="preserve"> Niezbędny jest przegląd spójności działań wszystkich szczebli administracji wpływających na politykę ochrony powietrza.</w:t>
      </w:r>
    </w:p>
    <w:p w14:paraId="1ACE2FE4" w14:textId="77777777" w:rsidR="009120F8" w:rsidRDefault="009120F8" w:rsidP="009120F8">
      <w:pPr>
        <w:pStyle w:val="paragraph"/>
        <w:spacing w:before="120" w:beforeAutospacing="0" w:after="120" w:afterAutospacing="0"/>
        <w:ind w:left="426"/>
        <w:jc w:val="both"/>
        <w:textAlignment w:val="baseline"/>
        <w:rPr>
          <w:rStyle w:val="normaltextrun"/>
        </w:rPr>
      </w:pPr>
      <w:r>
        <w:rPr>
          <w:rStyle w:val="normaltextrun"/>
        </w:rPr>
        <w:t xml:space="preserve">Niezbędna jest spójność opracowywanych dokumentów w zakresie ochrony powietrza na wszystkich szczeblach administracji, zarówno w układzie pionowym jak i poziomym. Wielość dokumentów oraz brak standardów ich wypracowywania prowadzi do sprzecznych kierunków i wzajemnie wykluczających się rozwiązań. </w:t>
      </w:r>
      <w:r w:rsidR="0081137B">
        <w:rPr>
          <w:rStyle w:val="normaltextrun"/>
        </w:rPr>
        <w:t>J</w:t>
      </w:r>
      <w:r>
        <w:rPr>
          <w:rStyle w:val="normaltextrun"/>
        </w:rPr>
        <w:t>est to efekt niedostatków w zakresie planowania długoterminowego, braków przełożenia priorytetów rozwojowych na politykę finansową, a także standardów monitoringu i ewaluacji. W rezultacie zmiany w dokumentach wyższych szczebli administracji nie prowadzą do adekwatnych korekt na niższych szczeblach.</w:t>
      </w:r>
    </w:p>
    <w:p w14:paraId="1ACE2FE5" w14:textId="77777777" w:rsidR="009120F8" w:rsidRDefault="00742EE1" w:rsidP="009120F8">
      <w:pPr>
        <w:pStyle w:val="paragraph"/>
        <w:spacing w:before="120" w:beforeAutospacing="0" w:after="120" w:afterAutospacing="0"/>
        <w:ind w:left="426"/>
        <w:jc w:val="both"/>
        <w:textAlignment w:val="baseline"/>
        <w:rPr>
          <w:rStyle w:val="normaltextrun"/>
        </w:rPr>
      </w:pPr>
      <w:r>
        <w:rPr>
          <w:rStyle w:val="normaltextrun"/>
        </w:rPr>
        <w:t>Konieczna jest integracja wszystkich dokumentów planistycznych, w tym dokumentów tematycznych z zakresu ochro</w:t>
      </w:r>
      <w:r w:rsidR="0081137B">
        <w:rPr>
          <w:rStyle w:val="normaltextrun"/>
        </w:rPr>
        <w:t>ny</w:t>
      </w:r>
      <w:r>
        <w:rPr>
          <w:rStyle w:val="normaltextrun"/>
        </w:rPr>
        <w:t xml:space="preserve"> powietrza z zapisami strategii rozwoju jako dokumentu strategicznego. Ponadto podczas gdy strategia ma charakter generalny i bardziej opisowy, to w przypadku dokumentów tematycznych, jak POP, </w:t>
      </w:r>
      <w:r w:rsidR="008D0952">
        <w:rPr>
          <w:rStyle w:val="normaltextrun"/>
        </w:rPr>
        <w:t>plan gospodarki niskoemisyjnej (</w:t>
      </w:r>
      <w:r>
        <w:rPr>
          <w:rStyle w:val="normaltextrun"/>
        </w:rPr>
        <w:t>PNG</w:t>
      </w:r>
      <w:r w:rsidR="008D0952">
        <w:rPr>
          <w:rStyle w:val="normaltextrun"/>
        </w:rPr>
        <w:t>)</w:t>
      </w:r>
      <w:r>
        <w:rPr>
          <w:rStyle w:val="normaltextrun"/>
        </w:rPr>
        <w:t xml:space="preserve"> powinny mieć one charakter operacyjny, zawierający konkretne zadania, harmonogram, wskazanie podmiotów koordynujących oraz monitoring (zestaw wskaźników i ewaluację).</w:t>
      </w:r>
      <w:r w:rsidR="00B028BC">
        <w:rPr>
          <w:rStyle w:val="normaltextrun"/>
        </w:rPr>
        <w:t xml:space="preserve"> Zapisy tych dokumentów muszą mieć także odzwierciedlenie w wieloletnich planach finansowych i być bezpośrednio powiązane z budżetem. Wskazane jest, aby chroniąc się przed brakiem stabilności finansowej spowodowanej różnymi uwarunkowaniami (m.in. pandemia, koniunkturalność rynkowa, zmiany przepisów) tworzyć tzw. kotwice budżetowe które zapewnią stabilność realizowanej polityki i dadzą zabezpieczenie finansowe dla realizowanych celów</w:t>
      </w:r>
      <w:r w:rsidR="009120F8">
        <w:rPr>
          <w:rStyle w:val="normaltextrun"/>
        </w:rPr>
        <w:t>.</w:t>
      </w:r>
    </w:p>
    <w:p w14:paraId="1ACE2FE6" w14:textId="77777777" w:rsidR="0063027B" w:rsidRDefault="0063027B" w:rsidP="0063027B">
      <w:pPr>
        <w:pStyle w:val="paragraph"/>
        <w:spacing w:before="120" w:beforeAutospacing="0" w:after="120" w:afterAutospacing="0"/>
        <w:ind w:left="426"/>
        <w:jc w:val="both"/>
        <w:textAlignment w:val="baseline"/>
        <w:rPr>
          <w:rStyle w:val="normaltextrun"/>
        </w:rPr>
      </w:pPr>
      <w:r>
        <w:rPr>
          <w:rStyle w:val="normaltextrun"/>
        </w:rPr>
        <w:t>Kierunek ochrony powietrza oznacza w szczególności</w:t>
      </w:r>
      <w:r w:rsidRPr="0063027B">
        <w:rPr>
          <w:rStyle w:val="normaltextrun"/>
        </w:rPr>
        <w:t xml:space="preserve"> konieczność likwidacji tzw. niskiej </w:t>
      </w:r>
      <w:r>
        <w:rPr>
          <w:rStyle w:val="normaltextrun"/>
        </w:rPr>
        <w:t xml:space="preserve">emisji zanieczyszczeń poprzez </w:t>
      </w:r>
      <w:r w:rsidRPr="0063027B">
        <w:rPr>
          <w:rStyle w:val="normaltextrun"/>
        </w:rPr>
        <w:t>ograniczanie wykorzystywania paliw stałych w ogrzewnictwie indywidualnym.</w:t>
      </w:r>
      <w:r>
        <w:rPr>
          <w:rStyle w:val="normaltextrun"/>
        </w:rPr>
        <w:t xml:space="preserve"> PEP2040 zakłada odejście</w:t>
      </w:r>
      <w:r w:rsidRPr="0063027B">
        <w:rPr>
          <w:rStyle w:val="normaltextrun"/>
        </w:rPr>
        <w:t xml:space="preserve"> od spalania węgla w gospodarstwach domowych </w:t>
      </w:r>
      <w:r>
        <w:rPr>
          <w:rStyle w:val="normaltextrun"/>
        </w:rPr>
        <w:t>w miastach do 2030 roku</w:t>
      </w:r>
      <w:r w:rsidRPr="0063027B">
        <w:rPr>
          <w:rStyle w:val="normaltextrun"/>
        </w:rPr>
        <w:t>, zaś n</w:t>
      </w:r>
      <w:r>
        <w:rPr>
          <w:rStyle w:val="normaltextrun"/>
        </w:rPr>
        <w:t>a obszarach wiejskich do 2040 roku.</w:t>
      </w:r>
      <w:r w:rsidRPr="0063027B">
        <w:rPr>
          <w:rStyle w:val="normaltextrun"/>
        </w:rPr>
        <w:t xml:space="preserve"> </w:t>
      </w:r>
      <w:r>
        <w:rPr>
          <w:rStyle w:val="normaltextrun"/>
        </w:rPr>
        <w:t>Jednak do 2040 roku</w:t>
      </w:r>
      <w:r w:rsidRPr="0063027B">
        <w:rPr>
          <w:rStyle w:val="normaltextrun"/>
        </w:rPr>
        <w:t xml:space="preserve"> </w:t>
      </w:r>
      <w:r>
        <w:rPr>
          <w:rStyle w:val="normaltextrun"/>
        </w:rPr>
        <w:t>w miastach</w:t>
      </w:r>
      <w:r w:rsidRPr="0063027B">
        <w:rPr>
          <w:rStyle w:val="normaltextrun"/>
        </w:rPr>
        <w:t xml:space="preserve"> utrzymana zostanie możliwość wykorzystania paliwa bezdymnego, o</w:t>
      </w:r>
      <w:r>
        <w:rPr>
          <w:rStyle w:val="normaltextrun"/>
        </w:rPr>
        <w:t xml:space="preserve"> </w:t>
      </w:r>
      <w:r w:rsidRPr="0063027B">
        <w:rPr>
          <w:rStyle w:val="normaltextrun"/>
        </w:rPr>
        <w:t>ile nie jest to sprzeczne z tzw. uchwałami antysmogowymi.</w:t>
      </w:r>
      <w:r w:rsidR="007D4C9B">
        <w:rPr>
          <w:rStyle w:val="normaltextrun"/>
        </w:rPr>
        <w:t xml:space="preserve"> </w:t>
      </w:r>
      <w:r w:rsidR="0098382F">
        <w:rPr>
          <w:rStyle w:val="normaltextrun"/>
        </w:rPr>
        <w:t>Powyższe zapisy PEP2040 wymagają integracji wskazanych celów z dokumentami samorządowymi, a w tym z ustalanymi celami wojewódzkich uchwał antysmogowych oraz dokumentów planistycznych w miastach, w tym POP, PGN</w:t>
      </w:r>
      <w:r w:rsidR="00A22038">
        <w:rPr>
          <w:rStyle w:val="normaltextrun"/>
        </w:rPr>
        <w:t>, planów</w:t>
      </w:r>
      <w:r w:rsidR="0098382F">
        <w:rPr>
          <w:rStyle w:val="normaltextrun"/>
        </w:rPr>
        <w:t xml:space="preserve"> zagospodarowania przestrzennego oraz </w:t>
      </w:r>
      <w:r w:rsidR="000C53F7" w:rsidRPr="0098382F">
        <w:rPr>
          <w:rStyle w:val="normaltextrun"/>
        </w:rPr>
        <w:t>planów rozwoju poszczególnych systemów sieciowych oraz opracowywania przez gminy założeń do planów oraz planów zaopatrzenia w ciepło, energię elektryczną i paliwa gazowe</w:t>
      </w:r>
      <w:r w:rsidR="000C53F7">
        <w:rPr>
          <w:rStyle w:val="normaltextrun"/>
        </w:rPr>
        <w:t xml:space="preserve"> tzw. plany</w:t>
      </w:r>
      <w:r w:rsidR="000C53F7" w:rsidRPr="0098382F">
        <w:rPr>
          <w:rStyle w:val="normaltextrun"/>
        </w:rPr>
        <w:t xml:space="preserve"> energetyzacji gmin</w:t>
      </w:r>
      <w:r w:rsidR="000C53F7">
        <w:rPr>
          <w:rStyle w:val="normaltextrun"/>
        </w:rPr>
        <w:t>.</w:t>
      </w:r>
      <w:r w:rsidR="006D38B2">
        <w:rPr>
          <w:rStyle w:val="normaltextrun"/>
        </w:rPr>
        <w:t xml:space="preserve"> Zapisy PEP2040 powinny być także spójne z programami dofinansowania jak „Stop Smog’, „Czyste Powietrze”, czy grantami miejskimi. Zauważyć należy, że wsparcie finansowe ze środków publicznych </w:t>
      </w:r>
      <w:r w:rsidR="00DF66C9">
        <w:rPr>
          <w:rStyle w:val="normaltextrun"/>
        </w:rPr>
        <w:t>kotłów</w:t>
      </w:r>
      <w:r w:rsidR="006D38B2">
        <w:rPr>
          <w:rStyle w:val="normaltextrun"/>
        </w:rPr>
        <w:t xml:space="preserve"> na paliwa stałe stoi w sprzeczności z zasadami gospodarności.</w:t>
      </w:r>
    </w:p>
    <w:p w14:paraId="1ACE2FE7" w14:textId="77777777" w:rsidR="00FF70F3" w:rsidRDefault="00FF70F3" w:rsidP="0070303C">
      <w:pPr>
        <w:pStyle w:val="paragraph"/>
        <w:spacing w:before="120" w:beforeAutospacing="0" w:after="120" w:afterAutospacing="0"/>
        <w:ind w:left="426"/>
        <w:jc w:val="both"/>
        <w:textAlignment w:val="baseline"/>
      </w:pPr>
      <w:r>
        <w:t>Widoczne są potrzeby w zakresie aktywizacji samorządów</w:t>
      </w:r>
      <w:r w:rsidRPr="00333A5C">
        <w:t xml:space="preserve"> w zakresie planowania energetycznego poprzez zmianę obowiązku wykonania dokumentów planistycznych w zakresie zaopatrzenia w ciepło, energię elektryczną i paliwa gazowe</w:t>
      </w:r>
      <w:r>
        <w:t xml:space="preserve">. </w:t>
      </w:r>
      <w:r w:rsidR="00BF14BE">
        <w:t>Obecne mechanizmy są nieskuteczne, a deficyty nieadekwatne do wagi problemu.</w:t>
      </w:r>
    </w:p>
    <w:p w14:paraId="1ACE2FE8" w14:textId="77777777" w:rsidR="00B16C42" w:rsidRDefault="00C06EE0" w:rsidP="0070303C">
      <w:pPr>
        <w:pStyle w:val="paragraph"/>
        <w:spacing w:before="120" w:beforeAutospacing="0" w:after="120" w:afterAutospacing="0"/>
        <w:ind w:left="426"/>
        <w:jc w:val="both"/>
        <w:textAlignment w:val="baseline"/>
      </w:pPr>
      <w:r>
        <w:t xml:space="preserve">Szczególny problem integracji i koordynacji działań rozwojowych dotyczy sieci </w:t>
      </w:r>
      <w:r w:rsidRPr="00810730">
        <w:t>ciepłownictwa</w:t>
      </w:r>
      <w:r>
        <w:t xml:space="preserve"> z</w:t>
      </w:r>
      <w:r w:rsidRPr="00810730">
        <w:t xml:space="preserve">e względu </w:t>
      </w:r>
      <w:r>
        <w:t xml:space="preserve">na jej </w:t>
      </w:r>
      <w:r w:rsidRPr="00810730">
        <w:t>specyfikę</w:t>
      </w:r>
      <w:r>
        <w:t>,</w:t>
      </w:r>
      <w:r w:rsidRPr="00810730">
        <w:t xml:space="preserve"> </w:t>
      </w:r>
      <w:r>
        <w:t xml:space="preserve">która charakteryzuje się rozproszoną strukturą własnościową i dużymi </w:t>
      </w:r>
      <w:r>
        <w:lastRenderedPageBreak/>
        <w:t xml:space="preserve">potrzebami w zakresie kapitalizacji i włączaniu wielu partnerów biznesowych. Potencjał miast w koordynacji tego procesu w oparciu o aktualne możliwości </w:t>
      </w:r>
      <w:r w:rsidR="007D4C9B">
        <w:t>finansowe, organizacyjne i stan</w:t>
      </w:r>
      <w:r>
        <w:t xml:space="preserve"> wiedzy są niedostateczne. </w:t>
      </w:r>
      <w:r w:rsidR="00B16C42">
        <w:t xml:space="preserve">Niezbędne jest </w:t>
      </w:r>
      <w:r>
        <w:t xml:space="preserve">zatem </w:t>
      </w:r>
      <w:r w:rsidR="00B16C42">
        <w:t>zwiększenie</w:t>
      </w:r>
      <w:r w:rsidR="00B16C42" w:rsidRPr="00B16C42">
        <w:t xml:space="preserve"> udziału </w:t>
      </w:r>
      <w:r w:rsidR="00B16C42">
        <w:t xml:space="preserve">miast </w:t>
      </w:r>
      <w:r w:rsidR="00B16C42" w:rsidRPr="00B16C42">
        <w:t>w</w:t>
      </w:r>
      <w:r w:rsidR="00B16C42">
        <w:t xml:space="preserve"> </w:t>
      </w:r>
      <w:r w:rsidR="00B16C42" w:rsidRPr="00B16C42">
        <w:t>planowaniu i organizacji zaopatrzenia w energię elektryczną, paliwa gazowe i ciepło</w:t>
      </w:r>
      <w:r w:rsidR="003F08D2">
        <w:t xml:space="preserve"> </w:t>
      </w:r>
      <w:r w:rsidR="007A7EE4">
        <w:t xml:space="preserve">m.in. </w:t>
      </w:r>
      <w:r w:rsidR="003F08D2">
        <w:t>poprzez ustalanie taryf</w:t>
      </w:r>
      <w:r w:rsidR="003F08D2" w:rsidRPr="00B16C42">
        <w:t xml:space="preserve"> stawek opłat za</w:t>
      </w:r>
      <w:r w:rsidR="003F08D2">
        <w:t xml:space="preserve"> </w:t>
      </w:r>
      <w:r w:rsidR="003F08D2" w:rsidRPr="00B16C42">
        <w:t>przyłączenie i za usługi przesyłowe</w:t>
      </w:r>
      <w:r w:rsidR="003F08D2">
        <w:t xml:space="preserve"> w celu racjonalizacji procesu inwestycyjnego, kontroli nad kosztami eksploatacji oraz </w:t>
      </w:r>
      <w:r w:rsidR="00B16C42" w:rsidRPr="00B16C42">
        <w:t>modern</w:t>
      </w:r>
      <w:r w:rsidR="003F08D2">
        <w:t>izacji systemów ciepłowniczych.</w:t>
      </w:r>
    </w:p>
    <w:p w14:paraId="1ACE2FE9" w14:textId="77777777" w:rsidR="00B93919" w:rsidRDefault="00B93919" w:rsidP="00B93919">
      <w:pPr>
        <w:pStyle w:val="NormalnyWeb"/>
        <w:ind w:left="426"/>
        <w:jc w:val="both"/>
      </w:pPr>
      <w:r>
        <w:t>Integracja działań z zakresu ochrony powietrza wymaga zmian legislacyjnych. Aktualne regulacje tworzą bariery prawne dla wprowadzania przez gminy zakazów stosowania pieców na paliwa stałe na etapie opracowania planów zagospodarowania przestrzennego. Niezbędne jest jednoznaczne wskazanie w ustawie o planowaniu i zagospodarowaniu przestrzennego zapisów z zakresu władztwa planistycznego w tym zakresie (</w:t>
      </w:r>
      <w:r w:rsidRPr="00A95892">
        <w:t>Dz.U. z 2003 nr 80 poz. 717, tekst jednolity).</w:t>
      </w:r>
      <w:r>
        <w:t xml:space="preserve"> Aktualne interpretacja przepisów jest niejednoznaczna, a orzecznictwo sądowe kwestionujące uchwały samorządów w tym zakresie stanowi ograniczenie kompetencyjne gmin. Zgodnie z nim gminy nie mają kompetencji do wykluczania określonych systemów grzewczych, parametrów ich sprawności, czy konkretnych paliw w planie zagospodarowania przestrzennego. Zgodnie z interpretacją sądów prawo takie przysługuje na mocy ustawy</w:t>
      </w:r>
      <w:r w:rsidRPr="00134F69">
        <w:t xml:space="preserve"> </w:t>
      </w:r>
      <w:r>
        <w:t>prawo ochrony środowiska sejmikom województwa w ramach uchwał smogowych (Dz.</w:t>
      </w:r>
      <w:r w:rsidRPr="00973AC0">
        <w:t>U. 1998 Nr 91 poz. 576, tekst jednolity).</w:t>
      </w:r>
      <w:r>
        <w:t xml:space="preserve"> Na możliwości gmin we wprowadzaniu zakazów do planów miejscowych wskazywane są z kolei przepisy art. 15 ust. 2 ustawy o </w:t>
      </w:r>
      <w:r w:rsidRPr="000008AC">
        <w:t>planowaniu i zagospodarowaniu przestrzennym (Dz.U. z 2003 n</w:t>
      </w:r>
      <w:r>
        <w:t xml:space="preserve">r 80 poz. 717, tekst jednolity) oraz par. 4 pkt 3 rozporządzenia w sprawie wymaganego zakresu projektu miejscowego planu zagospodarowania przestrzennego </w:t>
      </w:r>
      <w:r w:rsidRPr="00534F0B">
        <w:t>(Dz.U. 2003 nr 164 poz. 1587)</w:t>
      </w:r>
      <w:r>
        <w:t xml:space="preserve">. Przepisy te dotyczą zasad ochrony środowiska, przyrody i krajobrazu kulturowego, </w:t>
      </w:r>
      <w:proofErr w:type="spellStart"/>
      <w:r>
        <w:t>ktore</w:t>
      </w:r>
      <w:proofErr w:type="spellEnd"/>
      <w:r>
        <w:t xml:space="preserve"> powinny zawierać nakazy, zakazy, dopuszczenia i ograniczenia w zagospodarowaniu terenów. W związku ze znaczeniem ochrony powietrza wskazane jest wsparcie miast w interpretacji prawa krajowego lub jednoznaczne określenie przepisów w kierunku władztwa planistycznego w zakresie wprowadzanych zakazów.</w:t>
      </w:r>
    </w:p>
    <w:p w14:paraId="1ACE2FEA" w14:textId="77777777" w:rsidR="00B93919" w:rsidRDefault="00B93919" w:rsidP="00B93919">
      <w:pPr>
        <w:pStyle w:val="paragraph"/>
        <w:spacing w:before="120" w:beforeAutospacing="0" w:after="120" w:afterAutospacing="0"/>
        <w:ind w:left="426"/>
        <w:jc w:val="both"/>
        <w:textAlignment w:val="baseline"/>
      </w:pPr>
      <w:r>
        <w:t xml:space="preserve">Istotna kwestia dotyczy ponadto konieczności uwzględniania w prawodawstwie krajowym </w:t>
      </w:r>
      <w:r w:rsidRPr="00846D85">
        <w:t>(Dz. U 2001 n</w:t>
      </w:r>
      <w:r>
        <w:t>r 62 poz. 627, tekst jednolity) unijnych wymogów Dyrektywy 2008/50/WE w zakresie możliwości składania skarg do sądów krajowych przez osoby fizyczne i prawne bezpośrednio dotknięte przekroczeniem limitów zanieczyszczenia powietrza. Niezbędne jest r</w:t>
      </w:r>
      <w:r w:rsidRPr="00134F69">
        <w:t xml:space="preserve">ozszerzenie interpretacji interesu prawnego zgodnie z wykładnią prawa </w:t>
      </w:r>
      <w:r>
        <w:t>unijnego</w:t>
      </w:r>
      <w:r w:rsidRPr="00134F69">
        <w:t xml:space="preserve">, </w:t>
      </w:r>
      <w:r>
        <w:t>w celu uwzględniania interesu</w:t>
      </w:r>
      <w:r w:rsidRPr="00134F69">
        <w:t xml:space="preserve"> pośredni</w:t>
      </w:r>
      <w:r>
        <w:t>ego. Aktualny stan prawny, wskazany przez Komisję Europejską jako uchybienie, nie zapewnia praw ochrony interesu własnego, w tym uniemożliwia zaskarżenia spójności planów ochrony powietrza z wymogami Dyrektywy. Wskazane jest uzupełnienie ustawy prawo ochrony środowiska w art. 91 o zapisy przyznające osobom fizycznym i prawnym prawo zaskarżenia uchwały sejmiku województwa objętych programem ochrony powietrza</w:t>
      </w:r>
      <w:r w:rsidRPr="00A670D3">
        <w:t xml:space="preserve"> </w:t>
      </w:r>
      <w:r>
        <w:t>(</w:t>
      </w:r>
      <w:r w:rsidRPr="00465C0A">
        <w:t>Dz. U 2001 n</w:t>
      </w:r>
      <w:r>
        <w:t>r 62 poz. 627, tekst jednolity). Ponadto rekomendowane</w:t>
      </w:r>
      <w:r w:rsidRPr="00134F69">
        <w:t xml:space="preserve"> jest wprowadzenie przepisu szczególnego względem art. 90 ustawy o samorządzie województwa</w:t>
      </w:r>
      <w:r>
        <w:t xml:space="preserve"> </w:t>
      </w:r>
      <w:r w:rsidRPr="00134F69">
        <w:t>który pozwalałby mieszkańcom zaskarżenie uchwał se</w:t>
      </w:r>
      <w:r>
        <w:t>jmiku województwa objętych POP (</w:t>
      </w:r>
      <w:r w:rsidRPr="00617D87">
        <w:t>Dz. U. 1998 Nr 91 poz. 576)</w:t>
      </w:r>
      <w:r>
        <w:t>.</w:t>
      </w:r>
    </w:p>
    <w:p w14:paraId="1ACE2FEB" w14:textId="77777777" w:rsidR="00C86C10" w:rsidRDefault="00C86C10" w:rsidP="00C86C10">
      <w:pPr>
        <w:spacing w:line="240" w:lineRule="auto"/>
        <w:ind w:left="426"/>
      </w:pPr>
      <w:r>
        <w:rPr>
          <w:rStyle w:val="normaltextrun"/>
          <w:rFonts w:ascii="Times New Roman" w:hAnsi="Times New Roman" w:cs="Times New Roman"/>
          <w:i/>
          <w:sz w:val="24"/>
          <w:szCs w:val="24"/>
        </w:rPr>
        <w:t xml:space="preserve">Polityka Energetyczna Państwa 2040, (2021), Ministerstwo Klimatu i Środowiska, Warszawa, </w:t>
      </w:r>
      <w:hyperlink r:id="rId11" w:history="1">
        <w:r w:rsidRPr="00C94CE4">
          <w:rPr>
            <w:rStyle w:val="Hipercze"/>
            <w:rFonts w:ascii="Times New Roman" w:hAnsi="Times New Roman" w:cs="Times New Roman"/>
            <w:i/>
            <w:sz w:val="24"/>
            <w:szCs w:val="24"/>
          </w:rPr>
          <w:t>https://www.gov.pl/web/klimat/polityka-energetyczna-polski-do-2040-r-przyjeta-przez-rade-ministrow</w:t>
        </w:r>
      </w:hyperlink>
    </w:p>
    <w:p w14:paraId="1ACE2FEC" w14:textId="77777777" w:rsidR="009642A9" w:rsidRDefault="009642A9" w:rsidP="00C86C10">
      <w:pPr>
        <w:spacing w:line="240" w:lineRule="auto"/>
        <w:ind w:left="426"/>
      </w:pPr>
      <w:r w:rsidRPr="00726B92">
        <w:rPr>
          <w:rStyle w:val="normaltextrun"/>
          <w:rFonts w:ascii="Times New Roman" w:hAnsi="Times New Roman" w:cs="Times New Roman"/>
          <w:i/>
          <w:sz w:val="24"/>
          <w:szCs w:val="24"/>
        </w:rPr>
        <w:t xml:space="preserve">Raport: środowisko i adaptacja do zmian klimatu, 2021, </w:t>
      </w:r>
      <w:proofErr w:type="spellStart"/>
      <w:r w:rsidRPr="00726B92">
        <w:rPr>
          <w:rStyle w:val="normaltextrun"/>
          <w:rFonts w:ascii="Times New Roman" w:hAnsi="Times New Roman" w:cs="Times New Roman"/>
          <w:i/>
          <w:sz w:val="24"/>
          <w:szCs w:val="24"/>
        </w:rPr>
        <w:t>Rzeńca</w:t>
      </w:r>
      <w:proofErr w:type="spellEnd"/>
      <w:r w:rsidRPr="00726B92">
        <w:rPr>
          <w:rStyle w:val="normaltextrun"/>
          <w:rFonts w:ascii="Times New Roman" w:hAnsi="Times New Roman" w:cs="Times New Roman"/>
          <w:i/>
          <w:sz w:val="24"/>
          <w:szCs w:val="24"/>
        </w:rPr>
        <w:t xml:space="preserve"> A., Sobol A., Ogórek P. (red.), Obserwatorium Polityki Miejskiej, Instytut Rozwoju miast i Regionów (w druku).</w:t>
      </w:r>
    </w:p>
    <w:p w14:paraId="1ACE2FED" w14:textId="77777777" w:rsidR="009A01C2" w:rsidRPr="00C84914" w:rsidRDefault="004331B6" w:rsidP="003F38E2">
      <w:pPr>
        <w:pStyle w:val="Nagwek3"/>
        <w:rPr>
          <w:rFonts w:ascii="Times New Roman" w:hAnsi="Times New Roman" w:cs="Times New Roman"/>
          <w:sz w:val="24"/>
          <w:szCs w:val="24"/>
        </w:rPr>
      </w:pPr>
      <w:r w:rsidRPr="00C84914">
        <w:rPr>
          <w:rFonts w:ascii="Times New Roman" w:hAnsi="Times New Roman" w:cs="Times New Roman"/>
          <w:sz w:val="24"/>
          <w:szCs w:val="24"/>
        </w:rPr>
        <w:t>Podmioty odpowiedzialne za realizację:</w:t>
      </w:r>
    </w:p>
    <w:p w14:paraId="1ACE2FEE" w14:textId="77777777" w:rsidR="006A19BE" w:rsidRDefault="006A19BE" w:rsidP="00AC7DD6">
      <w:pPr>
        <w:ind w:left="426"/>
        <w:rPr>
          <w:rFonts w:ascii="Times New Roman" w:hAnsi="Times New Roman" w:cs="Times New Roman"/>
          <w:sz w:val="24"/>
          <w:szCs w:val="24"/>
        </w:rPr>
      </w:pPr>
      <w:r w:rsidRPr="00C84914">
        <w:rPr>
          <w:rFonts w:ascii="Times New Roman" w:hAnsi="Times New Roman" w:cs="Times New Roman"/>
          <w:sz w:val="24"/>
          <w:szCs w:val="24"/>
        </w:rPr>
        <w:t>Ministerstwo Klimatu i Środowiska</w:t>
      </w:r>
    </w:p>
    <w:p w14:paraId="1ACE2FEF" w14:textId="77777777" w:rsidR="00CB4CB1" w:rsidRDefault="00CB4CB1" w:rsidP="00AC7DD6">
      <w:pPr>
        <w:ind w:left="426"/>
        <w:rPr>
          <w:rFonts w:ascii="Times New Roman" w:hAnsi="Times New Roman" w:cs="Times New Roman"/>
          <w:sz w:val="24"/>
          <w:szCs w:val="24"/>
        </w:rPr>
      </w:pPr>
      <w:r>
        <w:rPr>
          <w:rFonts w:ascii="Times New Roman" w:hAnsi="Times New Roman" w:cs="Times New Roman"/>
          <w:sz w:val="24"/>
          <w:szCs w:val="24"/>
        </w:rPr>
        <w:t>Ministerstwo Funduszy i Polityki Regionalnej</w:t>
      </w:r>
    </w:p>
    <w:p w14:paraId="1ACE2FF0" w14:textId="77777777" w:rsidR="00CB4CB1" w:rsidRPr="00C84914" w:rsidRDefault="00CB4CB1" w:rsidP="00AC7DD6">
      <w:pPr>
        <w:ind w:left="426"/>
        <w:rPr>
          <w:rFonts w:ascii="Times New Roman" w:hAnsi="Times New Roman" w:cs="Times New Roman"/>
          <w:sz w:val="24"/>
          <w:szCs w:val="24"/>
        </w:rPr>
      </w:pPr>
      <w:r w:rsidRPr="00CB4CB1">
        <w:rPr>
          <w:rFonts w:ascii="Times New Roman" w:hAnsi="Times New Roman" w:cs="Times New Roman"/>
          <w:sz w:val="24"/>
          <w:szCs w:val="24"/>
        </w:rPr>
        <w:t>Ministerstwo Spraw Wewnętrznych i Administracji</w:t>
      </w:r>
    </w:p>
    <w:p w14:paraId="1ACE2FF1" w14:textId="77777777" w:rsidR="000D7675" w:rsidRDefault="00D55F58" w:rsidP="003F38E2">
      <w:pPr>
        <w:pStyle w:val="Nagwek3"/>
        <w:rPr>
          <w:rFonts w:ascii="Times New Roman" w:hAnsi="Times New Roman" w:cs="Times New Roman"/>
          <w:sz w:val="24"/>
          <w:szCs w:val="24"/>
        </w:rPr>
      </w:pPr>
      <w:r w:rsidRPr="00C84914">
        <w:rPr>
          <w:rFonts w:ascii="Times New Roman" w:hAnsi="Times New Roman" w:cs="Times New Roman"/>
          <w:sz w:val="24"/>
          <w:szCs w:val="24"/>
        </w:rPr>
        <w:t>Wstępny</w:t>
      </w:r>
      <w:r w:rsidR="006C579C" w:rsidRPr="00C84914">
        <w:rPr>
          <w:rFonts w:ascii="Times New Roman" w:hAnsi="Times New Roman" w:cs="Times New Roman"/>
          <w:sz w:val="24"/>
          <w:szCs w:val="24"/>
        </w:rPr>
        <w:t xml:space="preserve"> harmonogram</w:t>
      </w:r>
      <w:r w:rsidR="0074203F" w:rsidRPr="00C84914">
        <w:rPr>
          <w:rFonts w:ascii="Times New Roman" w:hAnsi="Times New Roman" w:cs="Times New Roman"/>
          <w:sz w:val="24"/>
          <w:szCs w:val="24"/>
        </w:rPr>
        <w:t xml:space="preserve"> i kamienie milowe</w:t>
      </w:r>
      <w:r w:rsidRPr="00C84914">
        <w:rPr>
          <w:rFonts w:ascii="Times New Roman" w:hAnsi="Times New Roman" w:cs="Times New Roman"/>
          <w:sz w:val="24"/>
          <w:szCs w:val="24"/>
        </w:rPr>
        <w:t>:</w:t>
      </w:r>
    </w:p>
    <w:p w14:paraId="1ACE2FF2" w14:textId="77777777" w:rsidR="006F2A94" w:rsidRPr="00F54382" w:rsidRDefault="006F2A94" w:rsidP="006F2A94">
      <w:pPr>
        <w:ind w:left="426"/>
        <w:rPr>
          <w:rFonts w:ascii="Times New Roman" w:hAnsi="Times New Roman" w:cs="Times New Roman"/>
          <w:sz w:val="24"/>
          <w:szCs w:val="24"/>
        </w:rPr>
      </w:pPr>
      <w:r w:rsidRPr="00F54382">
        <w:rPr>
          <w:rFonts w:ascii="Times New Roman" w:hAnsi="Times New Roman" w:cs="Times New Roman"/>
          <w:sz w:val="24"/>
          <w:szCs w:val="24"/>
        </w:rPr>
        <w:t>Prace analityczne i opracowanie treści nowyc</w:t>
      </w:r>
      <w:r w:rsidR="001E3E89">
        <w:rPr>
          <w:rFonts w:ascii="Times New Roman" w:hAnsi="Times New Roman" w:cs="Times New Roman"/>
          <w:sz w:val="24"/>
          <w:szCs w:val="24"/>
        </w:rPr>
        <w:t xml:space="preserve">h przepisów – w latach </w:t>
      </w:r>
      <w:r w:rsidRPr="00F54382">
        <w:rPr>
          <w:rFonts w:ascii="Times New Roman" w:hAnsi="Times New Roman" w:cs="Times New Roman"/>
          <w:sz w:val="24"/>
          <w:szCs w:val="24"/>
        </w:rPr>
        <w:t>2022</w:t>
      </w:r>
      <w:r w:rsidR="001E3E89">
        <w:rPr>
          <w:rFonts w:ascii="Times New Roman" w:hAnsi="Times New Roman" w:cs="Times New Roman"/>
          <w:sz w:val="24"/>
          <w:szCs w:val="24"/>
        </w:rPr>
        <w:t>-2023</w:t>
      </w:r>
      <w:r w:rsidRPr="00F54382">
        <w:rPr>
          <w:rFonts w:ascii="Times New Roman" w:hAnsi="Times New Roman" w:cs="Times New Roman"/>
          <w:sz w:val="24"/>
          <w:szCs w:val="24"/>
        </w:rPr>
        <w:t>;</w:t>
      </w:r>
    </w:p>
    <w:p w14:paraId="1ACE2FF3" w14:textId="77777777" w:rsidR="006F2A94" w:rsidRPr="00F54382" w:rsidRDefault="006F2A94" w:rsidP="006F2A94">
      <w:pPr>
        <w:ind w:left="426"/>
        <w:rPr>
          <w:rFonts w:ascii="Times New Roman" w:hAnsi="Times New Roman" w:cs="Times New Roman"/>
          <w:sz w:val="24"/>
          <w:szCs w:val="24"/>
        </w:rPr>
      </w:pPr>
      <w:r w:rsidRPr="00F54382">
        <w:rPr>
          <w:rFonts w:ascii="Times New Roman" w:hAnsi="Times New Roman" w:cs="Times New Roman"/>
          <w:sz w:val="24"/>
          <w:szCs w:val="24"/>
        </w:rPr>
        <w:t>Wejśc</w:t>
      </w:r>
      <w:r w:rsidR="001E3E89">
        <w:rPr>
          <w:rFonts w:ascii="Times New Roman" w:hAnsi="Times New Roman" w:cs="Times New Roman"/>
          <w:sz w:val="24"/>
          <w:szCs w:val="24"/>
        </w:rPr>
        <w:t xml:space="preserve">ie w życie nowych regulacji –  od </w:t>
      </w:r>
      <w:r w:rsidRPr="00F54382">
        <w:rPr>
          <w:rFonts w:ascii="Times New Roman" w:hAnsi="Times New Roman" w:cs="Times New Roman"/>
          <w:sz w:val="24"/>
          <w:szCs w:val="24"/>
        </w:rPr>
        <w:t>2023 roku.</w:t>
      </w:r>
    </w:p>
    <w:p w14:paraId="1ACE2FF4" w14:textId="77777777" w:rsidR="000945FE" w:rsidRDefault="007F072F" w:rsidP="003F38E2">
      <w:pPr>
        <w:pStyle w:val="Nagwek3"/>
        <w:rPr>
          <w:rFonts w:ascii="Times New Roman" w:hAnsi="Times New Roman" w:cs="Times New Roman"/>
          <w:sz w:val="24"/>
          <w:szCs w:val="24"/>
        </w:rPr>
      </w:pPr>
      <w:r w:rsidRPr="00C84914">
        <w:rPr>
          <w:rFonts w:ascii="Times New Roman" w:hAnsi="Times New Roman" w:cs="Times New Roman"/>
          <w:sz w:val="24"/>
          <w:szCs w:val="24"/>
        </w:rPr>
        <w:t>Priorytet</w:t>
      </w:r>
      <w:r w:rsidR="009B4B16" w:rsidRPr="00C84914">
        <w:rPr>
          <w:rFonts w:ascii="Times New Roman" w:hAnsi="Times New Roman" w:cs="Times New Roman"/>
          <w:sz w:val="24"/>
          <w:szCs w:val="24"/>
        </w:rPr>
        <w:t xml:space="preserve">/istotność z punktu widzenia </w:t>
      </w:r>
      <w:r w:rsidR="004E7FA1" w:rsidRPr="00C84914">
        <w:rPr>
          <w:rFonts w:ascii="Times New Roman" w:hAnsi="Times New Roman" w:cs="Times New Roman"/>
          <w:sz w:val="24"/>
          <w:szCs w:val="24"/>
        </w:rPr>
        <w:t>wpływu na wyzwanie/rozwiązanie problemu</w:t>
      </w:r>
      <w:r w:rsidR="00645634" w:rsidRPr="00C84914">
        <w:rPr>
          <w:rFonts w:ascii="Times New Roman" w:hAnsi="Times New Roman" w:cs="Times New Roman"/>
          <w:sz w:val="24"/>
          <w:szCs w:val="24"/>
        </w:rPr>
        <w:t xml:space="preserve"> (oczekiwany efekt)</w:t>
      </w:r>
      <w:r w:rsidR="00DD7E62" w:rsidRPr="00C84914">
        <w:rPr>
          <w:rFonts w:ascii="Times New Roman" w:hAnsi="Times New Roman" w:cs="Times New Roman"/>
          <w:sz w:val="24"/>
          <w:szCs w:val="24"/>
        </w:rPr>
        <w:t>:</w:t>
      </w:r>
    </w:p>
    <w:p w14:paraId="1ACE2FF5" w14:textId="77777777" w:rsidR="00EF63AE" w:rsidRDefault="00655D41" w:rsidP="00EF63AE">
      <w:pPr>
        <w:pStyle w:val="paragraph"/>
        <w:spacing w:before="120" w:beforeAutospacing="0" w:after="120" w:afterAutospacing="0"/>
        <w:ind w:left="426"/>
        <w:jc w:val="both"/>
        <w:textAlignment w:val="baseline"/>
        <w:rPr>
          <w:rFonts w:eastAsia="Arial Narrow"/>
        </w:rPr>
      </w:pPr>
      <w:r>
        <w:rPr>
          <w:rFonts w:eastAsia="Arial Narrow"/>
        </w:rPr>
        <w:t>Ochrona</w:t>
      </w:r>
      <w:r w:rsidRPr="005476BA">
        <w:rPr>
          <w:rFonts w:eastAsia="Arial Narrow"/>
        </w:rPr>
        <w:t xml:space="preserve"> jakości powietrza w miastach jest </w:t>
      </w:r>
      <w:r>
        <w:rPr>
          <w:rFonts w:eastAsia="Arial Narrow"/>
        </w:rPr>
        <w:t>jednym z kluczowych kierunków</w:t>
      </w:r>
      <w:r w:rsidRPr="005476BA">
        <w:rPr>
          <w:rFonts w:eastAsia="Arial Narrow"/>
        </w:rPr>
        <w:t xml:space="preserve"> </w:t>
      </w:r>
      <w:r w:rsidR="00EF63AE">
        <w:rPr>
          <w:rFonts w:eastAsia="Arial Narrow"/>
        </w:rPr>
        <w:t>KPM, którego realizacja wymaga integracji i wysokiej jakość planowania.</w:t>
      </w:r>
    </w:p>
    <w:p w14:paraId="1ACE2FF6" w14:textId="77777777" w:rsidR="0059298A" w:rsidRDefault="0059298A" w:rsidP="003F38E2">
      <w:pPr>
        <w:pStyle w:val="Nagwek3"/>
        <w:rPr>
          <w:rFonts w:ascii="Times New Roman" w:hAnsi="Times New Roman" w:cs="Times New Roman"/>
          <w:sz w:val="24"/>
          <w:szCs w:val="24"/>
        </w:rPr>
      </w:pPr>
      <w:r w:rsidRPr="00C84914">
        <w:rPr>
          <w:rFonts w:ascii="Times New Roman" w:hAnsi="Times New Roman" w:cs="Times New Roman"/>
          <w:sz w:val="24"/>
          <w:szCs w:val="24"/>
        </w:rPr>
        <w:t xml:space="preserve">Odniesienia do </w:t>
      </w:r>
      <w:r w:rsidR="0059704F" w:rsidRPr="00C84914">
        <w:rPr>
          <w:rFonts w:ascii="Times New Roman" w:hAnsi="Times New Roman" w:cs="Times New Roman"/>
          <w:sz w:val="24"/>
          <w:szCs w:val="24"/>
        </w:rPr>
        <w:t>diagnoz, dodatkowe materiały źródłowe</w:t>
      </w:r>
      <w:r w:rsidR="00F2007F" w:rsidRPr="00C84914">
        <w:rPr>
          <w:rFonts w:ascii="Times New Roman" w:hAnsi="Times New Roman" w:cs="Times New Roman"/>
          <w:sz w:val="24"/>
          <w:szCs w:val="24"/>
        </w:rPr>
        <w:t>, li</w:t>
      </w:r>
      <w:r w:rsidR="00550111" w:rsidRPr="00C84914">
        <w:rPr>
          <w:rFonts w:ascii="Times New Roman" w:hAnsi="Times New Roman" w:cs="Times New Roman"/>
          <w:sz w:val="24"/>
          <w:szCs w:val="24"/>
        </w:rPr>
        <w:t>teratura</w:t>
      </w:r>
      <w:r w:rsidR="0059704F" w:rsidRPr="00C84914">
        <w:rPr>
          <w:rFonts w:ascii="Times New Roman" w:hAnsi="Times New Roman" w:cs="Times New Roman"/>
          <w:sz w:val="24"/>
          <w:szCs w:val="24"/>
        </w:rPr>
        <w:t>:</w:t>
      </w:r>
    </w:p>
    <w:p w14:paraId="1ACE2FF7" w14:textId="77777777" w:rsidR="00046D16" w:rsidRDefault="00046D16" w:rsidP="00046D16">
      <w:pPr>
        <w:ind w:left="426"/>
        <w:rPr>
          <w:rFonts w:ascii="Times New Roman" w:hAnsi="Times New Roman" w:cs="Times New Roman"/>
          <w:sz w:val="24"/>
          <w:szCs w:val="24"/>
        </w:rPr>
      </w:pPr>
      <w:r w:rsidRPr="002763E4">
        <w:rPr>
          <w:rFonts w:ascii="Times New Roman" w:hAnsi="Times New Roman" w:cs="Times New Roman"/>
          <w:sz w:val="24"/>
          <w:szCs w:val="24"/>
        </w:rPr>
        <w:t xml:space="preserve">Plany Gospodarki Niskoemisyjnej (PGN) są powszechnie wykorzystywanym instrumentem w zakresie ograniczania źródeł niskiej emisji oraz transformacji w kierunku gospodarki niskoemisyjnej. </w:t>
      </w:r>
      <w:r>
        <w:rPr>
          <w:rFonts w:ascii="Times New Roman" w:hAnsi="Times New Roman" w:cs="Times New Roman"/>
          <w:sz w:val="24"/>
          <w:szCs w:val="24"/>
        </w:rPr>
        <w:t xml:space="preserve">Na podstawie badań OPM </w:t>
      </w:r>
      <w:proofErr w:type="spellStart"/>
      <w:r>
        <w:rPr>
          <w:rFonts w:ascii="Times New Roman" w:hAnsi="Times New Roman" w:cs="Times New Roman"/>
          <w:sz w:val="24"/>
          <w:szCs w:val="24"/>
        </w:rPr>
        <w:t>IRMiR</w:t>
      </w:r>
      <w:proofErr w:type="spellEnd"/>
      <w:r>
        <w:rPr>
          <w:rFonts w:ascii="Times New Roman" w:hAnsi="Times New Roman" w:cs="Times New Roman"/>
          <w:sz w:val="24"/>
          <w:szCs w:val="24"/>
        </w:rPr>
        <w:t xml:space="preserve"> </w:t>
      </w:r>
      <w:r w:rsidRPr="002763E4">
        <w:rPr>
          <w:rFonts w:ascii="Times New Roman" w:hAnsi="Times New Roman" w:cs="Times New Roman"/>
          <w:sz w:val="24"/>
          <w:szCs w:val="24"/>
        </w:rPr>
        <w:t xml:space="preserve">96% </w:t>
      </w:r>
      <w:r>
        <w:rPr>
          <w:rFonts w:ascii="Times New Roman" w:hAnsi="Times New Roman" w:cs="Times New Roman"/>
          <w:sz w:val="24"/>
          <w:szCs w:val="24"/>
        </w:rPr>
        <w:t xml:space="preserve">miast powyżej 5 tys. mieszkańców </w:t>
      </w:r>
      <w:r w:rsidRPr="002763E4">
        <w:rPr>
          <w:rFonts w:ascii="Times New Roman" w:hAnsi="Times New Roman" w:cs="Times New Roman"/>
          <w:sz w:val="24"/>
          <w:szCs w:val="24"/>
        </w:rPr>
        <w:t xml:space="preserve">posiada PGN. Jednocześnie ocena opracowywanych w miastach PGN wskazuje, iż miasta ograniczają swoje działania do wąskiej grupy standardowych rozwiązań. </w:t>
      </w:r>
      <w:r w:rsidRPr="00F231FF">
        <w:rPr>
          <w:rFonts w:ascii="Times New Roman" w:hAnsi="Times New Roman" w:cs="Times New Roman"/>
          <w:sz w:val="24"/>
          <w:szCs w:val="24"/>
        </w:rPr>
        <w:t>Mankamentem jest koncentrowanie się na tych inwestycjach i działaniach, które są możliwe do sfinansowania ze źródeł zewnętrznych. Brak kompleksowego spojrzenia na specyfikę lokalną oraz rzeczywistych powiązań PGN z innymi dokumentami strategicznymi powoduje, iż spada skuteczność wykorzystania tego instrumentu na rzecz transformacji gospodarki lokalnej.</w:t>
      </w:r>
      <w:r>
        <w:rPr>
          <w:rFonts w:ascii="Times New Roman" w:hAnsi="Times New Roman" w:cs="Times New Roman"/>
          <w:sz w:val="24"/>
          <w:szCs w:val="24"/>
        </w:rPr>
        <w:t xml:space="preserve"> </w:t>
      </w:r>
      <w:r w:rsidRPr="002763E4">
        <w:rPr>
          <w:rFonts w:ascii="Times New Roman" w:hAnsi="Times New Roman" w:cs="Times New Roman"/>
          <w:sz w:val="24"/>
          <w:szCs w:val="24"/>
        </w:rPr>
        <w:t>Ponadto opracowywane przez samorządy PGN są bardzo różnej jakości, nie dają możliwości realnej oceny identyfikowanych uwarunkowań oraz oceny skute</w:t>
      </w:r>
      <w:r>
        <w:rPr>
          <w:rFonts w:ascii="Times New Roman" w:hAnsi="Times New Roman" w:cs="Times New Roman"/>
          <w:sz w:val="24"/>
          <w:szCs w:val="24"/>
        </w:rPr>
        <w:t>czności zastosowanych rozwiązań.</w:t>
      </w:r>
    </w:p>
    <w:p w14:paraId="1ACE2FF8" w14:textId="77777777" w:rsidR="00146EC7" w:rsidRPr="00046D16" w:rsidRDefault="00046D16" w:rsidP="00046D16">
      <w:pPr>
        <w:ind w:left="426"/>
        <w:rPr>
          <w:rFonts w:ascii="Times New Roman" w:hAnsi="Times New Roman" w:cs="Times New Roman"/>
          <w:sz w:val="24"/>
          <w:szCs w:val="24"/>
        </w:rPr>
      </w:pPr>
      <w:r w:rsidRPr="002763E4">
        <w:rPr>
          <w:rFonts w:ascii="Times New Roman" w:hAnsi="Times New Roman" w:cs="Times New Roman"/>
          <w:sz w:val="24"/>
          <w:szCs w:val="24"/>
        </w:rPr>
        <w:t>Uchwały antysmogowe stają się coraz powszechniejszym instrumentem realizacji celów ochrony powietrza zarówno na poziomie regionu jak i miast, ale również obszarów funkcjonalnych np. obszarów uzdrowisk</w:t>
      </w:r>
      <w:r>
        <w:rPr>
          <w:rFonts w:ascii="Times New Roman" w:hAnsi="Times New Roman" w:cs="Times New Roman"/>
          <w:sz w:val="24"/>
          <w:szCs w:val="24"/>
        </w:rPr>
        <w:t xml:space="preserve">. </w:t>
      </w:r>
      <w:r w:rsidR="00146EC7" w:rsidRPr="00046D16">
        <w:rPr>
          <w:rFonts w:ascii="Times New Roman" w:hAnsi="Times New Roman" w:cs="Times New Roman"/>
          <w:sz w:val="24"/>
          <w:szCs w:val="24"/>
        </w:rPr>
        <w:t>Zgodnie ze</w:t>
      </w:r>
      <w:r w:rsidR="007D4C9B" w:rsidRPr="00046D16">
        <w:rPr>
          <w:rFonts w:ascii="Times New Roman" w:hAnsi="Times New Roman" w:cs="Times New Roman"/>
          <w:sz w:val="24"/>
          <w:szCs w:val="24"/>
        </w:rPr>
        <w:t xml:space="preserve"> stanem na koniec lutego 2021 roku</w:t>
      </w:r>
      <w:r w:rsidR="00146EC7" w:rsidRPr="00046D16">
        <w:rPr>
          <w:rFonts w:ascii="Times New Roman" w:hAnsi="Times New Roman" w:cs="Times New Roman"/>
          <w:sz w:val="24"/>
          <w:szCs w:val="24"/>
        </w:rPr>
        <w:t xml:space="preserve"> uchwały antysmogowe, których zapisy mają wpłynąć na poprawę jakości powietrza atmosferycznego wprowadzone został</w:t>
      </w:r>
      <w:r w:rsidR="007D4C9B" w:rsidRPr="00046D16">
        <w:rPr>
          <w:rFonts w:ascii="Times New Roman" w:hAnsi="Times New Roman" w:cs="Times New Roman"/>
          <w:sz w:val="24"/>
          <w:szCs w:val="24"/>
        </w:rPr>
        <w:t>y w 14 z 16 województw w Polsce</w:t>
      </w:r>
      <w:r w:rsidR="00146EC7" w:rsidRPr="00046D16">
        <w:rPr>
          <w:rFonts w:ascii="Times New Roman" w:hAnsi="Times New Roman" w:cs="Times New Roman"/>
          <w:sz w:val="24"/>
          <w:szCs w:val="24"/>
        </w:rPr>
        <w:t xml:space="preserve"> (bez warmińsko-mazurskiego i podlaskiego).</w:t>
      </w:r>
    </w:p>
    <w:p w14:paraId="1ACE2FF9" w14:textId="77777777" w:rsidR="00F95EA2" w:rsidRDefault="00F95EA2" w:rsidP="00F95EA2">
      <w:pPr>
        <w:pStyle w:val="paragraph"/>
        <w:spacing w:before="120" w:beforeAutospacing="0" w:after="120" w:afterAutospacing="0"/>
        <w:ind w:left="426"/>
        <w:jc w:val="both"/>
        <w:textAlignment w:val="baseline"/>
      </w:pPr>
      <w:r>
        <w:rPr>
          <w:rStyle w:val="normaltextrun"/>
        </w:rPr>
        <w:t>W zakresie planowania wpisującego się w ochronę powietrza istotne znaczenie</w:t>
      </w:r>
      <w:r w:rsidRPr="0098382F">
        <w:rPr>
          <w:rStyle w:val="normaltextrun"/>
        </w:rPr>
        <w:t xml:space="preserve"> </w:t>
      </w:r>
      <w:r>
        <w:rPr>
          <w:rStyle w:val="normaltextrun"/>
        </w:rPr>
        <w:t>mają przepisy ustawy p</w:t>
      </w:r>
      <w:r w:rsidRPr="0098382F">
        <w:rPr>
          <w:rStyle w:val="normaltextrun"/>
        </w:rPr>
        <w:t xml:space="preserve">rawo energetyczne, dotyczące obowiązku opracowywania przez przedsiębiorstwa planów rozwoju poszczególnych systemów sieciowych oraz opracowywania przez gminy </w:t>
      </w:r>
      <w:r>
        <w:rPr>
          <w:rStyle w:val="normaltextrun"/>
        </w:rPr>
        <w:t>wskazanych planów</w:t>
      </w:r>
      <w:r w:rsidRPr="0098382F">
        <w:rPr>
          <w:rStyle w:val="normaltextrun"/>
        </w:rPr>
        <w:t xml:space="preserve"> energetyzacji gmin</w:t>
      </w:r>
      <w:r>
        <w:rPr>
          <w:rStyle w:val="normaltextrun"/>
        </w:rPr>
        <w:t xml:space="preserve"> (</w:t>
      </w:r>
      <w:hyperlink r:id="rId12" w:history="1">
        <w:r w:rsidRPr="00EC1A91">
          <w:rPr>
            <w:rStyle w:val="normaltextrun"/>
          </w:rPr>
          <w:t>Dz. U. z 2020 r. poz. 833</w:t>
        </w:r>
      </w:hyperlink>
      <w:r w:rsidRPr="00EC1A91">
        <w:rPr>
          <w:rStyle w:val="normaltextrun"/>
        </w:rPr>
        <w:t>, tekst jednolity)</w:t>
      </w:r>
      <w:r>
        <w:rPr>
          <w:rStyle w:val="normaltextrun"/>
        </w:rPr>
        <w:t xml:space="preserve">. </w:t>
      </w:r>
      <w:r w:rsidRPr="0098382F">
        <w:rPr>
          <w:rStyle w:val="normaltextrun"/>
        </w:rPr>
        <w:t>Zgodnie z tym</w:t>
      </w:r>
      <w:r>
        <w:rPr>
          <w:rStyle w:val="normaltextrun"/>
        </w:rPr>
        <w:t>i przepisami, przedsiębiorstwa sieciowe</w:t>
      </w:r>
      <w:r w:rsidRPr="0098382F">
        <w:rPr>
          <w:rStyle w:val="normaltextrun"/>
        </w:rPr>
        <w:t xml:space="preserve"> mają obowiązek sporządzania, na okresy nie krótsze niż trzy lata, planów rozwoju dla obszaru swojego działania, uwzględniając miejscowy plan z</w:t>
      </w:r>
      <w:r>
        <w:rPr>
          <w:rStyle w:val="normaltextrun"/>
        </w:rPr>
        <w:t xml:space="preserve">agospodarowania przestrzennego. </w:t>
      </w:r>
      <w:r>
        <w:t>Plany energetyzacji</w:t>
      </w:r>
      <w:r w:rsidRPr="00CA79A6">
        <w:t xml:space="preserve"> gmin są</w:t>
      </w:r>
      <w:r>
        <w:t xml:space="preserve"> </w:t>
      </w:r>
      <w:r w:rsidRPr="00CA79A6">
        <w:t>opiniowane przez samorząd województwa (koordynacja współpracy z innymi gminami) i</w:t>
      </w:r>
      <w:r>
        <w:t xml:space="preserve"> </w:t>
      </w:r>
      <w:r w:rsidRPr="00CA79A6">
        <w:t xml:space="preserve">przez wojewodę (zgodność z </w:t>
      </w:r>
      <w:r>
        <w:t>polityką energetyczną państwa). Prawo energetyczne przewiduje opracowywanie planów energetyzacji</w:t>
      </w:r>
      <w:r w:rsidRPr="00CA79A6">
        <w:t xml:space="preserve"> dla obszaru jednej</w:t>
      </w:r>
      <w:r>
        <w:t xml:space="preserve"> </w:t>
      </w:r>
      <w:r w:rsidRPr="00CA79A6">
        <w:t>gminy, ale w przypadku budowy systemów przesyłowych przechodzących przez teren wielu</w:t>
      </w:r>
      <w:r>
        <w:t xml:space="preserve"> </w:t>
      </w:r>
      <w:r w:rsidRPr="00CA79A6">
        <w:t>gmin, a także na obszarach dużych agl</w:t>
      </w:r>
      <w:r>
        <w:t xml:space="preserve">omeracji miejsko-przemysłowych w praktyce dotyczą </w:t>
      </w:r>
      <w:r w:rsidRPr="00CA79A6">
        <w:t>podejmowanie wspólnych inwestycji energetycznych, obejmujących wiele gmin.</w:t>
      </w:r>
      <w:r>
        <w:t xml:space="preserve"> </w:t>
      </w:r>
      <w:r w:rsidRPr="00CA79A6">
        <w:t>Dotyczy to też systemów ciepłowniczych obsługujących kilka gmin, dla których celowe jest</w:t>
      </w:r>
      <w:r>
        <w:t xml:space="preserve"> </w:t>
      </w:r>
      <w:r w:rsidRPr="00CA79A6">
        <w:t>utworzenie wspólnego prze</w:t>
      </w:r>
      <w:r>
        <w:t>dsiębiorstwa sieciowego.</w:t>
      </w:r>
    </w:p>
    <w:p w14:paraId="1ACE2FFA" w14:textId="77777777" w:rsidR="00726B92" w:rsidRPr="00726B92" w:rsidRDefault="00726B92" w:rsidP="003A18FA">
      <w:pPr>
        <w:spacing w:line="240" w:lineRule="auto"/>
        <w:ind w:left="426"/>
        <w:rPr>
          <w:rStyle w:val="normaltextrun"/>
          <w:rFonts w:ascii="Times New Roman" w:hAnsi="Times New Roman" w:cs="Times New Roman"/>
          <w:i/>
          <w:sz w:val="24"/>
          <w:szCs w:val="24"/>
        </w:rPr>
      </w:pPr>
      <w:r w:rsidRPr="00726B92">
        <w:rPr>
          <w:rStyle w:val="normaltextrun"/>
          <w:rFonts w:ascii="Times New Roman" w:hAnsi="Times New Roman" w:cs="Times New Roman"/>
          <w:i/>
          <w:sz w:val="24"/>
          <w:szCs w:val="24"/>
        </w:rPr>
        <w:t xml:space="preserve">Raport: środowisko i adaptacja do zmian klimatu, 2021, </w:t>
      </w:r>
      <w:proofErr w:type="spellStart"/>
      <w:r w:rsidRPr="00726B92">
        <w:rPr>
          <w:rStyle w:val="normaltextrun"/>
          <w:rFonts w:ascii="Times New Roman" w:hAnsi="Times New Roman" w:cs="Times New Roman"/>
          <w:i/>
          <w:sz w:val="24"/>
          <w:szCs w:val="24"/>
        </w:rPr>
        <w:t>Rzeńca</w:t>
      </w:r>
      <w:proofErr w:type="spellEnd"/>
      <w:r w:rsidRPr="00726B92">
        <w:rPr>
          <w:rStyle w:val="normaltextrun"/>
          <w:rFonts w:ascii="Times New Roman" w:hAnsi="Times New Roman" w:cs="Times New Roman"/>
          <w:i/>
          <w:sz w:val="24"/>
          <w:szCs w:val="24"/>
        </w:rPr>
        <w:t xml:space="preserve"> A., Sobol A., Ogórek P. (red.), Obserwatorium Polityki Miejskiej, Instytut Rozwoju miast i Regionów (w druku).</w:t>
      </w:r>
    </w:p>
    <w:p w14:paraId="1ACE2FFB" w14:textId="77777777" w:rsidR="00A84AA2" w:rsidRPr="00C84914" w:rsidRDefault="00A84AA2" w:rsidP="003F38E2">
      <w:pPr>
        <w:pStyle w:val="Nagwek3"/>
        <w:shd w:val="clear" w:color="auto" w:fill="FFFFFF" w:themeFill="background1"/>
        <w:rPr>
          <w:rFonts w:ascii="Times New Roman" w:hAnsi="Times New Roman" w:cs="Times New Roman"/>
          <w:sz w:val="24"/>
          <w:szCs w:val="24"/>
        </w:rPr>
      </w:pPr>
      <w:r w:rsidRPr="00C84914">
        <w:rPr>
          <w:rFonts w:ascii="Times New Roman" w:hAnsi="Times New Roman" w:cs="Times New Roman"/>
          <w:sz w:val="24"/>
          <w:szCs w:val="24"/>
        </w:rPr>
        <w:t>Powiązane akty prawne</w:t>
      </w:r>
      <w:r w:rsidR="00154D56" w:rsidRPr="00C84914">
        <w:rPr>
          <w:rFonts w:ascii="Times New Roman" w:hAnsi="Times New Roman" w:cs="Times New Roman"/>
          <w:sz w:val="24"/>
          <w:szCs w:val="24"/>
        </w:rPr>
        <w:t xml:space="preserve">, </w:t>
      </w:r>
      <w:r w:rsidR="00286A0A" w:rsidRPr="00C84914">
        <w:rPr>
          <w:rFonts w:ascii="Times New Roman" w:hAnsi="Times New Roman" w:cs="Times New Roman"/>
          <w:sz w:val="24"/>
          <w:szCs w:val="24"/>
        </w:rPr>
        <w:t>i</w:t>
      </w:r>
      <w:r w:rsidR="00154D56" w:rsidRPr="00C84914">
        <w:rPr>
          <w:rFonts w:ascii="Times New Roman" w:hAnsi="Times New Roman" w:cs="Times New Roman"/>
          <w:sz w:val="24"/>
          <w:szCs w:val="24"/>
        </w:rPr>
        <w:t>dentyfikacja obszaru prawnego wymagającego poprawy (odniesienie do istniejącego stanu prawnego)</w:t>
      </w:r>
      <w:r w:rsidRPr="00C84914">
        <w:rPr>
          <w:rFonts w:ascii="Times New Roman" w:hAnsi="Times New Roman" w:cs="Times New Roman"/>
          <w:sz w:val="24"/>
          <w:szCs w:val="24"/>
        </w:rPr>
        <w:t>:</w:t>
      </w:r>
    </w:p>
    <w:p w14:paraId="1ACE2FFC" w14:textId="77777777" w:rsidR="00846D85" w:rsidRPr="00E20276" w:rsidRDefault="00846D85" w:rsidP="00846D85">
      <w:pPr>
        <w:spacing w:line="240" w:lineRule="auto"/>
        <w:ind w:left="426"/>
        <w:rPr>
          <w:rStyle w:val="normaltextrun"/>
          <w:rFonts w:ascii="Times New Roman" w:hAnsi="Times New Roman" w:cs="Times New Roman"/>
          <w:i/>
          <w:sz w:val="24"/>
          <w:szCs w:val="24"/>
        </w:rPr>
      </w:pPr>
      <w:r w:rsidRPr="00E20276">
        <w:rPr>
          <w:rStyle w:val="normaltextrun"/>
          <w:rFonts w:ascii="Times New Roman" w:hAnsi="Times New Roman" w:cs="Times New Roman"/>
          <w:i/>
          <w:sz w:val="24"/>
          <w:szCs w:val="24"/>
        </w:rPr>
        <w:t>Dyre</w:t>
      </w:r>
      <w:r>
        <w:rPr>
          <w:rStyle w:val="normaltextrun"/>
          <w:rFonts w:ascii="Times New Roman" w:hAnsi="Times New Roman" w:cs="Times New Roman"/>
          <w:i/>
          <w:sz w:val="24"/>
          <w:szCs w:val="24"/>
        </w:rPr>
        <w:t>ktywa Parlamentu Europejskiego i</w:t>
      </w:r>
      <w:r w:rsidRPr="00E20276">
        <w:rPr>
          <w:rStyle w:val="normaltextrun"/>
          <w:rFonts w:ascii="Times New Roman" w:hAnsi="Times New Roman" w:cs="Times New Roman"/>
          <w:i/>
          <w:sz w:val="24"/>
          <w:szCs w:val="24"/>
        </w:rPr>
        <w:t xml:space="preserve"> Rady 2008/50/WE</w:t>
      </w:r>
      <w:r>
        <w:rPr>
          <w:rStyle w:val="normaltextrun"/>
          <w:rFonts w:ascii="Times New Roman" w:hAnsi="Times New Roman" w:cs="Times New Roman"/>
          <w:i/>
          <w:sz w:val="24"/>
          <w:szCs w:val="24"/>
        </w:rPr>
        <w:t xml:space="preserve"> </w:t>
      </w:r>
      <w:r w:rsidRPr="00E20276">
        <w:rPr>
          <w:rStyle w:val="normaltextrun"/>
          <w:rFonts w:ascii="Times New Roman" w:hAnsi="Times New Roman" w:cs="Times New Roman"/>
          <w:i/>
          <w:sz w:val="24"/>
          <w:szCs w:val="24"/>
        </w:rPr>
        <w:t>z dnia 21 maja 2008 r.</w:t>
      </w:r>
      <w:r>
        <w:rPr>
          <w:rStyle w:val="normaltextrun"/>
          <w:rFonts w:ascii="Times New Roman" w:hAnsi="Times New Roman" w:cs="Times New Roman"/>
          <w:i/>
          <w:sz w:val="24"/>
          <w:szCs w:val="24"/>
        </w:rPr>
        <w:t xml:space="preserve"> </w:t>
      </w:r>
      <w:r w:rsidRPr="00E20276">
        <w:rPr>
          <w:rStyle w:val="normaltextrun"/>
          <w:rFonts w:ascii="Times New Roman" w:hAnsi="Times New Roman" w:cs="Times New Roman"/>
          <w:i/>
          <w:sz w:val="24"/>
          <w:szCs w:val="24"/>
        </w:rPr>
        <w:t>w sprawie jakości powietrza i czystszego powietrza dla Europy</w:t>
      </w:r>
      <w:r>
        <w:rPr>
          <w:rStyle w:val="normaltextrun"/>
          <w:rFonts w:ascii="Times New Roman" w:hAnsi="Times New Roman" w:cs="Times New Roman"/>
          <w:i/>
          <w:sz w:val="24"/>
          <w:szCs w:val="24"/>
        </w:rPr>
        <w:t>.</w:t>
      </w:r>
    </w:p>
    <w:p w14:paraId="1ACE2FFD" w14:textId="77777777" w:rsidR="000A5546" w:rsidRDefault="000A5546" w:rsidP="00AB1CBD">
      <w:pPr>
        <w:spacing w:line="240" w:lineRule="auto"/>
        <w:ind w:left="426"/>
        <w:rPr>
          <w:rStyle w:val="normaltextrun"/>
          <w:rFonts w:ascii="Times New Roman" w:hAnsi="Times New Roman" w:cs="Times New Roman"/>
          <w:i/>
          <w:sz w:val="24"/>
          <w:szCs w:val="24"/>
        </w:rPr>
      </w:pPr>
      <w:r w:rsidRPr="000A5546">
        <w:rPr>
          <w:rStyle w:val="normaltextrun"/>
          <w:rFonts w:ascii="Times New Roman" w:hAnsi="Times New Roman" w:cs="Times New Roman"/>
          <w:i/>
          <w:sz w:val="24"/>
          <w:szCs w:val="24"/>
        </w:rPr>
        <w:t>Dyrektywa Parlamentu Europejskiego i Rady 2009/28/WE z dnia 23</w:t>
      </w:r>
      <w:r w:rsidR="00E94B49">
        <w:rPr>
          <w:rStyle w:val="normaltextrun"/>
          <w:rFonts w:ascii="Times New Roman" w:hAnsi="Times New Roman" w:cs="Times New Roman"/>
          <w:i/>
          <w:sz w:val="24"/>
          <w:szCs w:val="24"/>
        </w:rPr>
        <w:t xml:space="preserve"> </w:t>
      </w:r>
      <w:r w:rsidRPr="000A5546">
        <w:rPr>
          <w:rStyle w:val="normaltextrun"/>
          <w:rFonts w:ascii="Times New Roman" w:hAnsi="Times New Roman" w:cs="Times New Roman"/>
          <w:i/>
          <w:sz w:val="24"/>
          <w:szCs w:val="24"/>
        </w:rPr>
        <w:t>kwietnia 2009r. w sprawie promowania stosowania energii ze źródeł odnawialnych</w:t>
      </w:r>
      <w:r>
        <w:rPr>
          <w:rStyle w:val="normaltextrun"/>
          <w:rFonts w:ascii="Times New Roman" w:hAnsi="Times New Roman" w:cs="Times New Roman"/>
          <w:i/>
          <w:sz w:val="24"/>
          <w:szCs w:val="24"/>
        </w:rPr>
        <w:t>.</w:t>
      </w:r>
    </w:p>
    <w:p w14:paraId="1ACE2FFE" w14:textId="77777777" w:rsidR="009B56E9" w:rsidRPr="00980916" w:rsidRDefault="009B56E9" w:rsidP="009B56E9">
      <w:pPr>
        <w:widowControl w:val="0"/>
        <w:spacing w:after="120" w:line="240" w:lineRule="auto"/>
        <w:ind w:left="426"/>
        <w:rPr>
          <w:rFonts w:ascii="Times New Roman" w:hAnsi="Times New Roman" w:cs="Times New Roman"/>
          <w:i/>
          <w:sz w:val="24"/>
          <w:szCs w:val="24"/>
        </w:rPr>
      </w:pPr>
      <w:r>
        <w:rPr>
          <w:rFonts w:ascii="Times New Roman" w:hAnsi="Times New Roman" w:cs="Times New Roman"/>
          <w:i/>
          <w:sz w:val="24"/>
          <w:szCs w:val="24"/>
        </w:rPr>
        <w:t xml:space="preserve">Ustawa z dnia 20 lutego </w:t>
      </w:r>
      <w:r w:rsidRPr="00980916">
        <w:rPr>
          <w:rFonts w:ascii="Times New Roman" w:hAnsi="Times New Roman" w:cs="Times New Roman"/>
          <w:i/>
          <w:sz w:val="24"/>
          <w:szCs w:val="24"/>
        </w:rPr>
        <w:t>2015 r. o odnawialnych źródłach energii</w:t>
      </w:r>
      <w:r w:rsidR="00B93919">
        <w:rPr>
          <w:rFonts w:ascii="Times New Roman" w:hAnsi="Times New Roman" w:cs="Times New Roman"/>
          <w:i/>
          <w:sz w:val="24"/>
          <w:szCs w:val="24"/>
        </w:rPr>
        <w:t>,</w:t>
      </w:r>
      <w:r w:rsidRPr="00980916">
        <w:rPr>
          <w:rFonts w:ascii="Times New Roman" w:hAnsi="Times New Roman" w:cs="Times New Roman"/>
          <w:i/>
          <w:sz w:val="24"/>
          <w:szCs w:val="24"/>
        </w:rPr>
        <w:t xml:space="preserve"> (Dz.U. z 2020r., poz. 261</w:t>
      </w:r>
      <w:r>
        <w:rPr>
          <w:rFonts w:ascii="Times New Roman" w:hAnsi="Times New Roman" w:cs="Times New Roman"/>
          <w:i/>
          <w:sz w:val="24"/>
          <w:szCs w:val="24"/>
        </w:rPr>
        <w:t>, tekst jednolity</w:t>
      </w:r>
      <w:r w:rsidRPr="00980916">
        <w:rPr>
          <w:rFonts w:ascii="Times New Roman" w:hAnsi="Times New Roman" w:cs="Times New Roman"/>
          <w:i/>
          <w:sz w:val="24"/>
          <w:szCs w:val="24"/>
        </w:rPr>
        <w:t>)</w:t>
      </w:r>
      <w:r>
        <w:rPr>
          <w:rFonts w:ascii="Times New Roman" w:hAnsi="Times New Roman" w:cs="Times New Roman"/>
          <w:i/>
          <w:sz w:val="24"/>
          <w:szCs w:val="24"/>
        </w:rPr>
        <w:t>.</w:t>
      </w:r>
    </w:p>
    <w:p w14:paraId="1ACE2FFF" w14:textId="77777777" w:rsidR="009B56E9" w:rsidRDefault="009B56E9" w:rsidP="009B56E9">
      <w:pPr>
        <w:widowControl w:val="0"/>
        <w:spacing w:after="120" w:line="240" w:lineRule="auto"/>
        <w:ind w:left="426"/>
        <w:rPr>
          <w:rFonts w:ascii="Times New Roman" w:hAnsi="Times New Roman" w:cs="Times New Roman"/>
          <w:i/>
          <w:sz w:val="24"/>
          <w:szCs w:val="24"/>
        </w:rPr>
      </w:pPr>
      <w:r w:rsidRPr="00980916">
        <w:rPr>
          <w:rFonts w:ascii="Times New Roman" w:hAnsi="Times New Roman" w:cs="Times New Roman"/>
          <w:i/>
          <w:sz w:val="24"/>
          <w:szCs w:val="24"/>
        </w:rPr>
        <w:t>Ustawa z dnia 20 maja 2016r. o efektywności energetycznej</w:t>
      </w:r>
      <w:r w:rsidR="00B93919">
        <w:rPr>
          <w:rFonts w:ascii="Times New Roman" w:hAnsi="Times New Roman" w:cs="Times New Roman"/>
          <w:i/>
          <w:sz w:val="24"/>
          <w:szCs w:val="24"/>
        </w:rPr>
        <w:t>,</w:t>
      </w:r>
      <w:r w:rsidRPr="00980916">
        <w:rPr>
          <w:rFonts w:ascii="Times New Roman" w:hAnsi="Times New Roman" w:cs="Times New Roman"/>
          <w:i/>
          <w:sz w:val="24"/>
          <w:szCs w:val="24"/>
        </w:rPr>
        <w:t xml:space="preserve"> (</w:t>
      </w:r>
      <w:r>
        <w:rPr>
          <w:rFonts w:ascii="Times New Roman" w:hAnsi="Times New Roman" w:cs="Times New Roman"/>
          <w:i/>
          <w:sz w:val="24"/>
          <w:szCs w:val="24"/>
        </w:rPr>
        <w:t>Dz.</w:t>
      </w:r>
      <w:r w:rsidRPr="00980916">
        <w:rPr>
          <w:rFonts w:ascii="Times New Roman" w:hAnsi="Times New Roman" w:cs="Times New Roman"/>
          <w:i/>
          <w:sz w:val="24"/>
          <w:szCs w:val="24"/>
        </w:rPr>
        <w:t>U. z 2020, poz. 264</w:t>
      </w:r>
      <w:r>
        <w:rPr>
          <w:rFonts w:ascii="Times New Roman" w:hAnsi="Times New Roman" w:cs="Times New Roman"/>
          <w:i/>
          <w:sz w:val="24"/>
          <w:szCs w:val="24"/>
        </w:rPr>
        <w:t>, tekst jednolity).</w:t>
      </w:r>
    </w:p>
    <w:p w14:paraId="1ACE3000" w14:textId="77777777" w:rsidR="004F065A" w:rsidRDefault="004F065A" w:rsidP="004F065A">
      <w:pPr>
        <w:widowControl w:val="0"/>
        <w:tabs>
          <w:tab w:val="left" w:pos="426"/>
        </w:tabs>
        <w:spacing w:after="120" w:line="240" w:lineRule="auto"/>
        <w:ind w:left="426"/>
        <w:rPr>
          <w:rFonts w:ascii="Times New Roman" w:hAnsi="Times New Roman" w:cs="Times New Roman"/>
          <w:i/>
          <w:sz w:val="24"/>
          <w:szCs w:val="24"/>
        </w:rPr>
      </w:pPr>
      <w:r>
        <w:rPr>
          <w:rFonts w:ascii="Times New Roman" w:hAnsi="Times New Roman" w:cs="Times New Roman"/>
          <w:i/>
          <w:sz w:val="24"/>
          <w:szCs w:val="24"/>
        </w:rPr>
        <w:t xml:space="preserve">Ustawa </w:t>
      </w:r>
      <w:r w:rsidRPr="00F20D26">
        <w:rPr>
          <w:rFonts w:ascii="Times New Roman" w:hAnsi="Times New Roman" w:cs="Times New Roman"/>
          <w:i/>
          <w:sz w:val="24"/>
          <w:szCs w:val="24"/>
        </w:rPr>
        <w:t>z dnia 21</w:t>
      </w:r>
      <w:r>
        <w:rPr>
          <w:rFonts w:ascii="Times New Roman" w:hAnsi="Times New Roman" w:cs="Times New Roman"/>
          <w:i/>
          <w:sz w:val="24"/>
          <w:szCs w:val="24"/>
        </w:rPr>
        <w:t xml:space="preserve"> </w:t>
      </w:r>
      <w:r w:rsidRPr="00F20D26">
        <w:rPr>
          <w:rFonts w:ascii="Times New Roman" w:hAnsi="Times New Roman" w:cs="Times New Roman"/>
          <w:i/>
          <w:sz w:val="24"/>
          <w:szCs w:val="24"/>
        </w:rPr>
        <w:t>listopada 2008r.o wspieraniu termomodernizacji i</w:t>
      </w:r>
      <w:r>
        <w:rPr>
          <w:rFonts w:ascii="Times New Roman" w:hAnsi="Times New Roman" w:cs="Times New Roman"/>
          <w:i/>
          <w:sz w:val="24"/>
          <w:szCs w:val="24"/>
        </w:rPr>
        <w:t xml:space="preserve"> </w:t>
      </w:r>
      <w:r w:rsidRPr="00F20D26">
        <w:rPr>
          <w:rFonts w:ascii="Times New Roman" w:hAnsi="Times New Roman" w:cs="Times New Roman"/>
          <w:i/>
          <w:sz w:val="24"/>
          <w:szCs w:val="24"/>
        </w:rPr>
        <w:t>remontów oraz o</w:t>
      </w:r>
      <w:r>
        <w:rPr>
          <w:rFonts w:ascii="Times New Roman" w:hAnsi="Times New Roman" w:cs="Times New Roman"/>
          <w:i/>
          <w:sz w:val="24"/>
          <w:szCs w:val="24"/>
        </w:rPr>
        <w:t xml:space="preserve"> </w:t>
      </w:r>
      <w:r w:rsidRPr="00F20D26">
        <w:rPr>
          <w:rFonts w:ascii="Times New Roman" w:hAnsi="Times New Roman" w:cs="Times New Roman"/>
          <w:i/>
          <w:sz w:val="24"/>
          <w:szCs w:val="24"/>
        </w:rPr>
        <w:t>centralnej ewidencji emisyjności budynków</w:t>
      </w:r>
      <w:r>
        <w:rPr>
          <w:rFonts w:ascii="Times New Roman" w:hAnsi="Times New Roman" w:cs="Times New Roman"/>
          <w:i/>
          <w:sz w:val="24"/>
          <w:szCs w:val="24"/>
        </w:rPr>
        <w:t xml:space="preserve"> (</w:t>
      </w:r>
      <w:r w:rsidRPr="001E09C0">
        <w:rPr>
          <w:rFonts w:ascii="Times New Roman" w:hAnsi="Times New Roman" w:cs="Times New Roman"/>
          <w:i/>
          <w:sz w:val="24"/>
          <w:szCs w:val="24"/>
        </w:rPr>
        <w:t>Dz. U. 2008 Nr 223 poz. 1459, tekst jednolity).</w:t>
      </w:r>
    </w:p>
    <w:p w14:paraId="1ACE3001" w14:textId="77777777" w:rsidR="009B56E9" w:rsidRDefault="009B56E9" w:rsidP="009B56E9">
      <w:pPr>
        <w:widowControl w:val="0"/>
        <w:spacing w:after="120" w:line="240" w:lineRule="auto"/>
        <w:ind w:left="426"/>
        <w:rPr>
          <w:rFonts w:ascii="Times New Roman" w:hAnsi="Times New Roman" w:cs="Times New Roman"/>
          <w:i/>
          <w:sz w:val="24"/>
          <w:szCs w:val="24"/>
        </w:rPr>
      </w:pPr>
      <w:r w:rsidRPr="00980916">
        <w:rPr>
          <w:rFonts w:ascii="Times New Roman" w:hAnsi="Times New Roman" w:cs="Times New Roman"/>
          <w:i/>
          <w:sz w:val="24"/>
          <w:szCs w:val="24"/>
        </w:rPr>
        <w:t>Ustaw</w:t>
      </w:r>
      <w:r>
        <w:rPr>
          <w:rFonts w:ascii="Times New Roman" w:hAnsi="Times New Roman" w:cs="Times New Roman"/>
          <w:i/>
          <w:sz w:val="24"/>
          <w:szCs w:val="24"/>
        </w:rPr>
        <w:t>a z</w:t>
      </w:r>
      <w:r w:rsidR="00B93919">
        <w:rPr>
          <w:rFonts w:ascii="Times New Roman" w:hAnsi="Times New Roman" w:cs="Times New Roman"/>
          <w:i/>
          <w:sz w:val="24"/>
          <w:szCs w:val="24"/>
        </w:rPr>
        <w:t xml:space="preserve"> dnia 10 kwietnia 1997 r. p</w:t>
      </w:r>
      <w:r w:rsidRPr="00980916">
        <w:rPr>
          <w:rFonts w:ascii="Times New Roman" w:hAnsi="Times New Roman" w:cs="Times New Roman"/>
          <w:i/>
          <w:sz w:val="24"/>
          <w:szCs w:val="24"/>
        </w:rPr>
        <w:t>rawo energetyczne</w:t>
      </w:r>
      <w:r w:rsidR="00B93919">
        <w:rPr>
          <w:rFonts w:ascii="Times New Roman" w:hAnsi="Times New Roman" w:cs="Times New Roman"/>
          <w:i/>
          <w:sz w:val="24"/>
          <w:szCs w:val="24"/>
        </w:rPr>
        <w:t>,</w:t>
      </w:r>
      <w:r w:rsidRPr="00980916">
        <w:rPr>
          <w:rFonts w:ascii="Times New Roman" w:hAnsi="Times New Roman" w:cs="Times New Roman"/>
          <w:i/>
          <w:sz w:val="24"/>
          <w:szCs w:val="24"/>
        </w:rPr>
        <w:t xml:space="preserve"> (Dz.U.</w:t>
      </w:r>
      <w:r>
        <w:rPr>
          <w:rFonts w:ascii="Times New Roman" w:hAnsi="Times New Roman" w:cs="Times New Roman"/>
          <w:i/>
          <w:sz w:val="24"/>
          <w:szCs w:val="24"/>
        </w:rPr>
        <w:t xml:space="preserve"> </w:t>
      </w:r>
      <w:r w:rsidRPr="00980916">
        <w:rPr>
          <w:rFonts w:ascii="Times New Roman" w:hAnsi="Times New Roman" w:cs="Times New Roman"/>
          <w:i/>
          <w:sz w:val="24"/>
          <w:szCs w:val="24"/>
        </w:rPr>
        <w:t>z</w:t>
      </w:r>
      <w:r>
        <w:rPr>
          <w:rFonts w:ascii="Times New Roman" w:hAnsi="Times New Roman" w:cs="Times New Roman"/>
          <w:i/>
          <w:sz w:val="24"/>
          <w:szCs w:val="24"/>
        </w:rPr>
        <w:t xml:space="preserve"> </w:t>
      </w:r>
      <w:r w:rsidRPr="00980916">
        <w:rPr>
          <w:rFonts w:ascii="Times New Roman" w:hAnsi="Times New Roman" w:cs="Times New Roman"/>
          <w:i/>
          <w:sz w:val="24"/>
          <w:szCs w:val="24"/>
        </w:rPr>
        <w:t>2020 r. poz. 833</w:t>
      </w:r>
      <w:r>
        <w:rPr>
          <w:rFonts w:ascii="Times New Roman" w:hAnsi="Times New Roman" w:cs="Times New Roman"/>
          <w:i/>
          <w:sz w:val="24"/>
          <w:szCs w:val="24"/>
        </w:rPr>
        <w:t>, tekst jednolity).</w:t>
      </w:r>
    </w:p>
    <w:p w14:paraId="1ACE3002" w14:textId="77777777" w:rsidR="009B56E9" w:rsidRDefault="009B56E9" w:rsidP="009B56E9">
      <w:pPr>
        <w:widowControl w:val="0"/>
        <w:spacing w:after="120" w:line="240" w:lineRule="auto"/>
        <w:ind w:left="426"/>
        <w:rPr>
          <w:rFonts w:ascii="Times New Roman" w:hAnsi="Times New Roman" w:cs="Times New Roman"/>
          <w:i/>
          <w:sz w:val="24"/>
          <w:szCs w:val="24"/>
        </w:rPr>
      </w:pPr>
      <w:r w:rsidRPr="00C875A7">
        <w:rPr>
          <w:rFonts w:ascii="Times New Roman" w:hAnsi="Times New Roman" w:cs="Times New Roman"/>
          <w:i/>
          <w:sz w:val="24"/>
          <w:szCs w:val="24"/>
        </w:rPr>
        <w:t>Ustawa z dnia 8 marca 1990 r. o samorządzie g</w:t>
      </w:r>
      <w:r>
        <w:rPr>
          <w:rFonts w:ascii="Times New Roman" w:hAnsi="Times New Roman" w:cs="Times New Roman"/>
          <w:i/>
          <w:sz w:val="24"/>
          <w:szCs w:val="24"/>
        </w:rPr>
        <w:t>minnym</w:t>
      </w:r>
      <w:r w:rsidR="00B93919">
        <w:rPr>
          <w:rFonts w:ascii="Times New Roman" w:hAnsi="Times New Roman" w:cs="Times New Roman"/>
          <w:i/>
          <w:sz w:val="24"/>
          <w:szCs w:val="24"/>
        </w:rPr>
        <w:t>,</w:t>
      </w:r>
      <w:r>
        <w:rPr>
          <w:rFonts w:ascii="Times New Roman" w:hAnsi="Times New Roman" w:cs="Times New Roman"/>
          <w:i/>
          <w:sz w:val="24"/>
          <w:szCs w:val="24"/>
        </w:rPr>
        <w:t xml:space="preserve"> (Dz.U. 1990 nr 16 poz. 95, tekst jednolity).</w:t>
      </w:r>
    </w:p>
    <w:p w14:paraId="1ACE3003" w14:textId="77777777" w:rsidR="00465C0A" w:rsidRPr="00C875A7" w:rsidRDefault="00465C0A" w:rsidP="009B56E9">
      <w:pPr>
        <w:widowControl w:val="0"/>
        <w:spacing w:after="120" w:line="240" w:lineRule="auto"/>
        <w:ind w:left="426"/>
        <w:rPr>
          <w:rFonts w:ascii="Times New Roman" w:hAnsi="Times New Roman" w:cs="Times New Roman"/>
          <w:i/>
          <w:sz w:val="24"/>
          <w:szCs w:val="24"/>
        </w:rPr>
      </w:pPr>
      <w:r>
        <w:rPr>
          <w:rFonts w:ascii="Times New Roman" w:hAnsi="Times New Roman" w:cs="Times New Roman"/>
          <w:i/>
          <w:sz w:val="24"/>
          <w:szCs w:val="24"/>
        </w:rPr>
        <w:t xml:space="preserve">Ustawa z dnia </w:t>
      </w:r>
      <w:r w:rsidRPr="00465C0A">
        <w:rPr>
          <w:rFonts w:ascii="Times New Roman" w:hAnsi="Times New Roman" w:cs="Times New Roman"/>
          <w:i/>
          <w:sz w:val="24"/>
          <w:szCs w:val="24"/>
        </w:rPr>
        <w:t>5</w:t>
      </w:r>
      <w:r w:rsidR="009235F1">
        <w:rPr>
          <w:rFonts w:ascii="Times New Roman" w:hAnsi="Times New Roman" w:cs="Times New Roman"/>
          <w:i/>
          <w:sz w:val="24"/>
          <w:szCs w:val="24"/>
        </w:rPr>
        <w:t xml:space="preserve"> </w:t>
      </w:r>
      <w:r w:rsidRPr="00465C0A">
        <w:rPr>
          <w:rFonts w:ascii="Times New Roman" w:hAnsi="Times New Roman" w:cs="Times New Roman"/>
          <w:i/>
          <w:sz w:val="24"/>
          <w:szCs w:val="24"/>
        </w:rPr>
        <w:t>czerwca 1998</w:t>
      </w:r>
      <w:r>
        <w:rPr>
          <w:rFonts w:ascii="Times New Roman" w:hAnsi="Times New Roman" w:cs="Times New Roman"/>
          <w:i/>
          <w:sz w:val="24"/>
          <w:szCs w:val="24"/>
        </w:rPr>
        <w:t xml:space="preserve"> </w:t>
      </w:r>
      <w:r w:rsidRPr="00465C0A">
        <w:rPr>
          <w:rFonts w:ascii="Times New Roman" w:hAnsi="Times New Roman" w:cs="Times New Roman"/>
          <w:i/>
          <w:sz w:val="24"/>
          <w:szCs w:val="24"/>
        </w:rPr>
        <w:t>r.</w:t>
      </w:r>
      <w:r>
        <w:rPr>
          <w:rFonts w:ascii="Times New Roman" w:hAnsi="Times New Roman" w:cs="Times New Roman"/>
          <w:i/>
          <w:sz w:val="24"/>
          <w:szCs w:val="24"/>
        </w:rPr>
        <w:t xml:space="preserve"> </w:t>
      </w:r>
      <w:r w:rsidRPr="00465C0A">
        <w:rPr>
          <w:rFonts w:ascii="Times New Roman" w:hAnsi="Times New Roman" w:cs="Times New Roman"/>
          <w:i/>
          <w:sz w:val="24"/>
          <w:szCs w:val="24"/>
        </w:rPr>
        <w:t>o samorządzie województwa</w:t>
      </w:r>
      <w:r w:rsidR="00B93919">
        <w:rPr>
          <w:rFonts w:ascii="Times New Roman" w:hAnsi="Times New Roman" w:cs="Times New Roman"/>
          <w:i/>
          <w:sz w:val="24"/>
          <w:szCs w:val="24"/>
        </w:rPr>
        <w:t>,</w:t>
      </w:r>
      <w:r>
        <w:rPr>
          <w:rFonts w:ascii="Times New Roman" w:hAnsi="Times New Roman" w:cs="Times New Roman"/>
          <w:i/>
          <w:sz w:val="24"/>
          <w:szCs w:val="24"/>
        </w:rPr>
        <w:t xml:space="preserve"> (</w:t>
      </w:r>
      <w:r w:rsidRPr="00465C0A">
        <w:rPr>
          <w:rFonts w:ascii="Times New Roman" w:hAnsi="Times New Roman" w:cs="Times New Roman"/>
          <w:i/>
          <w:sz w:val="24"/>
          <w:szCs w:val="24"/>
        </w:rPr>
        <w:t>Dz. U. 1998 Nr 91 poz. 576</w:t>
      </w:r>
      <w:r w:rsidR="00A86F91">
        <w:rPr>
          <w:rFonts w:ascii="Times New Roman" w:hAnsi="Times New Roman" w:cs="Times New Roman"/>
          <w:i/>
          <w:sz w:val="24"/>
          <w:szCs w:val="24"/>
        </w:rPr>
        <w:t>, tekst jednolity</w:t>
      </w:r>
      <w:r>
        <w:rPr>
          <w:rFonts w:ascii="Times New Roman" w:hAnsi="Times New Roman" w:cs="Times New Roman"/>
          <w:i/>
          <w:sz w:val="24"/>
          <w:szCs w:val="24"/>
        </w:rPr>
        <w:t>).</w:t>
      </w:r>
    </w:p>
    <w:p w14:paraId="1ACE3004" w14:textId="77777777" w:rsidR="009B56E9" w:rsidRPr="002C422E" w:rsidRDefault="009B56E9" w:rsidP="009B56E9">
      <w:pPr>
        <w:widowControl w:val="0"/>
        <w:spacing w:after="120" w:line="240" w:lineRule="auto"/>
        <w:ind w:left="426"/>
        <w:rPr>
          <w:rFonts w:ascii="Times New Roman" w:hAnsi="Times New Roman" w:cs="Times New Roman"/>
          <w:i/>
          <w:sz w:val="24"/>
          <w:szCs w:val="24"/>
        </w:rPr>
      </w:pPr>
      <w:r w:rsidRPr="002C422E">
        <w:rPr>
          <w:rFonts w:ascii="Times New Roman" w:hAnsi="Times New Roman" w:cs="Times New Roman"/>
          <w:i/>
          <w:sz w:val="24"/>
          <w:szCs w:val="24"/>
        </w:rPr>
        <w:t>Ustawa z 27 marca 2003 r. o planowaniu i zagospodarowaniu przestrzennym</w:t>
      </w:r>
      <w:r w:rsidR="00B93919">
        <w:rPr>
          <w:rFonts w:ascii="Times New Roman" w:hAnsi="Times New Roman" w:cs="Times New Roman"/>
          <w:i/>
          <w:sz w:val="24"/>
          <w:szCs w:val="24"/>
        </w:rPr>
        <w:t>,</w:t>
      </w:r>
      <w:r w:rsidRPr="002C422E">
        <w:rPr>
          <w:rFonts w:ascii="Times New Roman" w:hAnsi="Times New Roman" w:cs="Times New Roman"/>
          <w:i/>
          <w:sz w:val="24"/>
          <w:szCs w:val="24"/>
        </w:rPr>
        <w:t xml:space="preserve"> </w:t>
      </w:r>
      <w:r>
        <w:rPr>
          <w:rFonts w:ascii="Times New Roman" w:hAnsi="Times New Roman" w:cs="Times New Roman"/>
          <w:i/>
          <w:sz w:val="24"/>
          <w:szCs w:val="24"/>
        </w:rPr>
        <w:t>(Dz.U. z 2003 nr 80 poz. 717, tekst jednolity).</w:t>
      </w:r>
    </w:p>
    <w:p w14:paraId="1ACE3005" w14:textId="77777777" w:rsidR="009B56E9" w:rsidRDefault="009B56E9" w:rsidP="009B56E9">
      <w:pPr>
        <w:widowControl w:val="0"/>
        <w:spacing w:after="120" w:line="240" w:lineRule="auto"/>
        <w:ind w:left="426"/>
        <w:rPr>
          <w:rFonts w:ascii="Times New Roman" w:hAnsi="Times New Roman" w:cs="Times New Roman"/>
          <w:i/>
          <w:sz w:val="24"/>
          <w:szCs w:val="24"/>
        </w:rPr>
      </w:pPr>
      <w:r w:rsidRPr="00C875A7">
        <w:rPr>
          <w:rFonts w:ascii="Times New Roman" w:hAnsi="Times New Roman" w:cs="Times New Roman"/>
          <w:i/>
          <w:sz w:val="24"/>
          <w:szCs w:val="24"/>
        </w:rPr>
        <w:t xml:space="preserve">Ustawa z dnia 27 kwietnia 2001 r. Prawo ochrony środowiska, </w:t>
      </w:r>
      <w:r>
        <w:rPr>
          <w:rFonts w:ascii="Times New Roman" w:hAnsi="Times New Roman" w:cs="Times New Roman"/>
          <w:i/>
          <w:sz w:val="24"/>
          <w:szCs w:val="24"/>
        </w:rPr>
        <w:t>(Dz. U 2001 nr 62 poz. 627, tekst jednolity).</w:t>
      </w:r>
    </w:p>
    <w:p w14:paraId="1ACE3006" w14:textId="77777777" w:rsidR="009B56E9" w:rsidRDefault="009B56E9" w:rsidP="009B56E9">
      <w:pPr>
        <w:widowControl w:val="0"/>
        <w:spacing w:after="120" w:line="240" w:lineRule="auto"/>
        <w:ind w:left="426"/>
        <w:rPr>
          <w:rFonts w:ascii="Times New Roman" w:hAnsi="Times New Roman" w:cs="Times New Roman"/>
          <w:i/>
          <w:sz w:val="24"/>
          <w:szCs w:val="24"/>
        </w:rPr>
      </w:pPr>
      <w:r w:rsidRPr="00980916">
        <w:rPr>
          <w:rFonts w:ascii="Times New Roman" w:hAnsi="Times New Roman" w:cs="Times New Roman"/>
          <w:i/>
          <w:sz w:val="24"/>
          <w:szCs w:val="24"/>
        </w:rPr>
        <w:t>Ustawa z dnia 3 października 2008</w:t>
      </w:r>
      <w:r w:rsidR="00467FD9">
        <w:rPr>
          <w:rFonts w:ascii="Times New Roman" w:hAnsi="Times New Roman" w:cs="Times New Roman"/>
          <w:i/>
          <w:sz w:val="24"/>
          <w:szCs w:val="24"/>
        </w:rPr>
        <w:t xml:space="preserve"> </w:t>
      </w:r>
      <w:r w:rsidRPr="00980916">
        <w:rPr>
          <w:rFonts w:ascii="Times New Roman" w:hAnsi="Times New Roman" w:cs="Times New Roman"/>
          <w:i/>
          <w:sz w:val="24"/>
          <w:szCs w:val="24"/>
        </w:rPr>
        <w:t>r. o udostępnianiu informacji o środowisku i jego ochronie, udziale społeczeństwa w ochronie środowiska oraz o ocenach oddziaływania na środowisko</w:t>
      </w:r>
      <w:r w:rsidR="00B93919">
        <w:rPr>
          <w:rFonts w:ascii="Times New Roman" w:hAnsi="Times New Roman" w:cs="Times New Roman"/>
          <w:i/>
          <w:sz w:val="24"/>
          <w:szCs w:val="24"/>
        </w:rPr>
        <w:t>,</w:t>
      </w:r>
      <w:r w:rsidRPr="00980916">
        <w:rPr>
          <w:rFonts w:ascii="Times New Roman" w:hAnsi="Times New Roman" w:cs="Times New Roman"/>
          <w:i/>
          <w:sz w:val="24"/>
          <w:szCs w:val="24"/>
        </w:rPr>
        <w:t xml:space="preserve"> (Dz. U. 2020</w:t>
      </w:r>
      <w:r>
        <w:rPr>
          <w:rFonts w:ascii="Times New Roman" w:hAnsi="Times New Roman" w:cs="Times New Roman"/>
          <w:i/>
          <w:sz w:val="24"/>
          <w:szCs w:val="24"/>
        </w:rPr>
        <w:t xml:space="preserve"> </w:t>
      </w:r>
      <w:r w:rsidRPr="00980916">
        <w:rPr>
          <w:rFonts w:ascii="Times New Roman" w:hAnsi="Times New Roman" w:cs="Times New Roman"/>
          <w:i/>
          <w:sz w:val="24"/>
          <w:szCs w:val="24"/>
        </w:rPr>
        <w:t>poz. 283</w:t>
      </w:r>
      <w:r>
        <w:rPr>
          <w:rFonts w:ascii="Times New Roman" w:hAnsi="Times New Roman" w:cs="Times New Roman"/>
          <w:i/>
          <w:sz w:val="24"/>
          <w:szCs w:val="24"/>
        </w:rPr>
        <w:t>, tekst jednolity).</w:t>
      </w:r>
    </w:p>
    <w:p w14:paraId="1ACE3007" w14:textId="77777777" w:rsidR="000008AC" w:rsidRPr="00AC2E45" w:rsidRDefault="000008AC" w:rsidP="00AC2E45">
      <w:pPr>
        <w:widowControl w:val="0"/>
        <w:spacing w:after="120" w:line="240" w:lineRule="auto"/>
        <w:ind w:left="426"/>
        <w:rPr>
          <w:rStyle w:val="normaltextrun"/>
          <w:rFonts w:ascii="Times New Roman" w:hAnsi="Times New Roman" w:cs="Times New Roman"/>
          <w:i/>
          <w:sz w:val="24"/>
          <w:szCs w:val="24"/>
        </w:rPr>
      </w:pPr>
      <w:r w:rsidRPr="00AC2E45">
        <w:rPr>
          <w:rFonts w:ascii="Times New Roman" w:hAnsi="Times New Roman" w:cs="Times New Roman"/>
          <w:i/>
          <w:sz w:val="24"/>
          <w:szCs w:val="24"/>
        </w:rPr>
        <w:t>Rozporządzenie Ministra Infrastruktury z dnia 26 sierpnia 2003 r. w sprawie wymaganego zakresu projektu miejscowego planu zagospodarowania przestrzennego, (</w:t>
      </w:r>
      <w:r w:rsidR="00AC2E45" w:rsidRPr="00AC2E45">
        <w:rPr>
          <w:rFonts w:ascii="Times New Roman" w:hAnsi="Times New Roman" w:cs="Times New Roman"/>
          <w:i/>
          <w:sz w:val="24"/>
          <w:szCs w:val="24"/>
        </w:rPr>
        <w:t>Dz.U. 2003 nr 164 poz. 1587).</w:t>
      </w:r>
    </w:p>
    <w:p w14:paraId="1ACE3008" w14:textId="77777777" w:rsidR="00D434B2" w:rsidRPr="00C84914" w:rsidRDefault="00D434B2" w:rsidP="003F38E2">
      <w:pPr>
        <w:pStyle w:val="Nagwek3"/>
        <w:rPr>
          <w:rFonts w:ascii="Times New Roman" w:hAnsi="Times New Roman" w:cs="Times New Roman"/>
          <w:sz w:val="24"/>
          <w:szCs w:val="24"/>
        </w:rPr>
      </w:pPr>
      <w:r w:rsidRPr="00C84914">
        <w:rPr>
          <w:rFonts w:ascii="Times New Roman" w:hAnsi="Times New Roman" w:cs="Times New Roman"/>
          <w:sz w:val="24"/>
          <w:szCs w:val="24"/>
        </w:rPr>
        <w:t>Przykłady podobnych rozwiązań w innych krajach (jeśli znane)</w:t>
      </w:r>
      <w:r w:rsidR="004E38BE">
        <w:rPr>
          <w:rFonts w:ascii="Times New Roman" w:hAnsi="Times New Roman" w:cs="Times New Roman"/>
          <w:sz w:val="24"/>
          <w:szCs w:val="24"/>
        </w:rPr>
        <w:t xml:space="preserve"> + krajowe:</w:t>
      </w:r>
    </w:p>
    <w:p w14:paraId="1ACE3009" w14:textId="77777777" w:rsidR="00EE42B3" w:rsidRPr="004E38BE" w:rsidRDefault="002B0626">
      <w:pPr>
        <w:pStyle w:val="paragraph"/>
        <w:spacing w:before="120" w:after="120"/>
        <w:ind w:left="426"/>
        <w:jc w:val="both"/>
        <w:textAlignment w:val="baseline"/>
      </w:pPr>
      <w:r>
        <w:t xml:space="preserve">Zdecydowane działania planistyczne w zakresie ochrony powietrza związane są z </w:t>
      </w:r>
      <w:r w:rsidR="00EE42B3">
        <w:t>wprowadzeniem lokalnych uchwały antysmogowych</w:t>
      </w:r>
      <w:r w:rsidR="004E38BE">
        <w:t xml:space="preserve">. </w:t>
      </w:r>
      <w:r w:rsidR="00EE42B3">
        <w:t xml:space="preserve">Inicjatywę w tym zakresie podjął Kraków, który jest liderem planowania w zakresie ochrony powietrza. Wprowadzenie zakazu palenia węglem planowane jest także w Skawinie od stycznia 2030 roku. Wymaga to przyjęcia przez Sejmik Województwa Małopolskiego lokalnej uchwały antysmogowej. W ramach </w:t>
      </w:r>
      <w:hyperlink r:id="rId13" w:tgtFrame="_blank" w:history="1">
        <w:r w:rsidR="00EE42B3" w:rsidRPr="00E01A30">
          <w:t>uchwały antysmogowej</w:t>
        </w:r>
      </w:hyperlink>
      <w:r w:rsidR="00EE42B3">
        <w:t xml:space="preserve"> dla Skawiny od 2022 roku zostałby także wprowadzony zakaz montażu kotłów węglowych w nowych budynkach. Rada Miejska w marcu 2019 roku podjęła uchwałę intencyjną w tej sprawie, jednakże nie weszła ona w życie, ponieważ nie przyjął jej Sejmik Województwa.</w:t>
      </w:r>
    </w:p>
    <w:sectPr w:rsidR="00EE42B3" w:rsidRPr="004E38BE" w:rsidSect="008C5124">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300C" w14:textId="77777777" w:rsidR="000D55DA" w:rsidRDefault="000D55DA" w:rsidP="005B177E">
      <w:r>
        <w:separator/>
      </w:r>
    </w:p>
  </w:endnote>
  <w:endnote w:type="continuationSeparator" w:id="0">
    <w:p w14:paraId="1ACE300D" w14:textId="77777777" w:rsidR="000D55DA" w:rsidRDefault="000D55DA" w:rsidP="005B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rriweather Sans">
    <w:altName w:val="Arial"/>
    <w:panose1 w:val="00000000000000000000"/>
    <w:charset w:val="EE"/>
    <w:family w:val="swiss"/>
    <w:notTrueType/>
    <w:pitch w:val="default"/>
    <w:sig w:usb0="00000001" w:usb1="00000000" w:usb2="00000000" w:usb3="00000000" w:csb0="00000003" w:csb1="00000000"/>
  </w:font>
  <w:font w:name="+mn-e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495798"/>
      <w:docPartObj>
        <w:docPartGallery w:val="Page Numbers (Bottom of Page)"/>
        <w:docPartUnique/>
      </w:docPartObj>
    </w:sdtPr>
    <w:sdtEndPr/>
    <w:sdtContent>
      <w:p w14:paraId="1ACE300F" w14:textId="77777777" w:rsidR="0081137B" w:rsidRDefault="00B26944">
        <w:pPr>
          <w:pStyle w:val="Stopka"/>
          <w:jc w:val="center"/>
        </w:pPr>
        <w:r>
          <w:fldChar w:fldCharType="begin"/>
        </w:r>
        <w:r>
          <w:instrText>PAGE   \* MERGEFORMAT</w:instrText>
        </w:r>
        <w:r>
          <w:fldChar w:fldCharType="separate"/>
        </w:r>
        <w:r w:rsidR="00C834A2">
          <w:rPr>
            <w:noProof/>
          </w:rPr>
          <w:t>1</w:t>
        </w:r>
        <w:r>
          <w:rPr>
            <w:noProof/>
          </w:rPr>
          <w:fldChar w:fldCharType="end"/>
        </w:r>
      </w:p>
    </w:sdtContent>
  </w:sdt>
  <w:p w14:paraId="1ACE3010" w14:textId="77777777" w:rsidR="0081137B" w:rsidRDefault="008113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300A" w14:textId="77777777" w:rsidR="000D55DA" w:rsidRDefault="000D55DA" w:rsidP="005B177E">
      <w:r>
        <w:separator/>
      </w:r>
    </w:p>
  </w:footnote>
  <w:footnote w:type="continuationSeparator" w:id="0">
    <w:p w14:paraId="1ACE300B" w14:textId="77777777" w:rsidR="000D55DA" w:rsidRDefault="000D55DA" w:rsidP="005B177E">
      <w:r>
        <w:continuationSeparator/>
      </w:r>
    </w:p>
  </w:footnote>
  <w:footnote w:id="1">
    <w:p w14:paraId="1ACE3015" w14:textId="77777777" w:rsidR="0081137B" w:rsidRPr="00C6710F" w:rsidRDefault="0081137B" w:rsidP="00C377DE">
      <w:pPr>
        <w:pStyle w:val="Tekstprzypisudolnego"/>
        <w:rPr>
          <w:rFonts w:ascii="Times New Roman" w:hAnsi="Times New Roman" w:cs="Times New Roman"/>
        </w:rPr>
      </w:pPr>
      <w:r w:rsidRPr="00C6710F">
        <w:rPr>
          <w:rStyle w:val="Odwoanieprzypisudolnego"/>
          <w:rFonts w:ascii="Times New Roman" w:hAnsi="Times New Roman" w:cs="Times New Roman"/>
        </w:rPr>
        <w:footnoteRef/>
      </w:r>
      <w:r w:rsidRPr="00C6710F">
        <w:rPr>
          <w:rFonts w:ascii="Times New Roman" w:hAnsi="Times New Roman" w:cs="Times New Roman"/>
        </w:rPr>
        <w:t xml:space="preserve"> a) Rozwiązania w zakresie regulacji prawnych, administracyjnych itd. </w:t>
      </w:r>
    </w:p>
    <w:p w14:paraId="1ACE3016" w14:textId="77777777" w:rsidR="0081137B" w:rsidRPr="00C6710F" w:rsidRDefault="0081137B" w:rsidP="00C377DE">
      <w:pPr>
        <w:pStyle w:val="Tekstprzypisudolnego"/>
        <w:rPr>
          <w:rFonts w:ascii="Times New Roman" w:hAnsi="Times New Roman" w:cs="Times New Roman"/>
        </w:rPr>
      </w:pPr>
      <w:r w:rsidRPr="00C6710F">
        <w:rPr>
          <w:rFonts w:ascii="Times New Roman" w:hAnsi="Times New Roman" w:cs="Times New Roman"/>
        </w:rPr>
        <w:t>b) Rozwiązania w zakresie finansowania i programów funduszowych</w:t>
      </w:r>
    </w:p>
    <w:p w14:paraId="1ACE3017" w14:textId="77777777" w:rsidR="0081137B" w:rsidRPr="00C6710F" w:rsidRDefault="0081137B" w:rsidP="00C377DE">
      <w:pPr>
        <w:pStyle w:val="Tekstprzypisudolnego"/>
        <w:rPr>
          <w:rFonts w:ascii="Times New Roman" w:hAnsi="Times New Roman" w:cs="Times New Roman"/>
        </w:rPr>
      </w:pPr>
      <w:r w:rsidRPr="00C6710F">
        <w:rPr>
          <w:rFonts w:ascii="Times New Roman" w:hAnsi="Times New Roman" w:cs="Times New Roman"/>
        </w:rPr>
        <w:t>c) Dedykowane programy krajowe</w:t>
      </w:r>
    </w:p>
    <w:p w14:paraId="1ACE3018" w14:textId="77777777" w:rsidR="0081137B" w:rsidRPr="00C6710F" w:rsidRDefault="0081137B" w:rsidP="00C377DE">
      <w:pPr>
        <w:pStyle w:val="Tekstprzypisudolnego"/>
        <w:rPr>
          <w:rFonts w:ascii="Times New Roman" w:hAnsi="Times New Roman" w:cs="Times New Roman"/>
        </w:rPr>
      </w:pPr>
      <w:r w:rsidRPr="00C6710F">
        <w:rPr>
          <w:rFonts w:ascii="Times New Roman" w:hAnsi="Times New Roman" w:cs="Times New Roman"/>
        </w:rPr>
        <w:t>d) Wzmacnianie know-how: Rekomendacje, zalecenia, standardy, dobre praktyki, wymiana doświadczeń, szkolenia, pilotaże, programy współpracy itd.</w:t>
      </w:r>
    </w:p>
    <w:p w14:paraId="1ACE3019" w14:textId="77777777" w:rsidR="0081137B" w:rsidRPr="00C6710F" w:rsidRDefault="0081137B" w:rsidP="00C377DE">
      <w:pPr>
        <w:pStyle w:val="Tekstprzypisudolnego"/>
        <w:rPr>
          <w:rFonts w:ascii="Times New Roman" w:hAnsi="Times New Roman" w:cs="Times New Roman"/>
        </w:rPr>
      </w:pPr>
      <w:r w:rsidRPr="00C6710F">
        <w:rPr>
          <w:rFonts w:ascii="Times New Roman" w:hAnsi="Times New Roman" w:cs="Times New Roman"/>
        </w:rPr>
        <w:t xml:space="preserve">e) Dostosowywanie działań, inwestycji realizowanych przez inne zależne od rządu podmioty krajowe </w:t>
      </w:r>
    </w:p>
    <w:p w14:paraId="1ACE301A" w14:textId="77777777" w:rsidR="0081137B" w:rsidRPr="00C6710F" w:rsidRDefault="0081137B" w:rsidP="00C377DE">
      <w:pPr>
        <w:pStyle w:val="Tekstprzypisudolnego"/>
        <w:rPr>
          <w:rFonts w:ascii="Times New Roman" w:hAnsi="Times New Roman" w:cs="Times New Roman"/>
        </w:rPr>
      </w:pPr>
      <w:r w:rsidRPr="00C6710F">
        <w:rPr>
          <w:rFonts w:ascii="Times New Roman" w:hAnsi="Times New Roman" w:cs="Times New Roman"/>
        </w:rPr>
        <w:t>f) Inne</w:t>
      </w:r>
    </w:p>
  </w:footnote>
  <w:footnote w:id="2">
    <w:p w14:paraId="1ACE301B" w14:textId="77777777" w:rsidR="0081137B" w:rsidRPr="00C6710F" w:rsidRDefault="0081137B">
      <w:pPr>
        <w:pStyle w:val="Tekstprzypisudolnego"/>
        <w:rPr>
          <w:rFonts w:ascii="Times New Roman" w:hAnsi="Times New Roman" w:cs="Times New Roman"/>
        </w:rPr>
      </w:pPr>
      <w:r w:rsidRPr="00C6710F">
        <w:rPr>
          <w:rStyle w:val="Odwoanieprzypisudolnego"/>
          <w:rFonts w:ascii="Times New Roman" w:hAnsi="Times New Roman" w:cs="Times New Roman"/>
        </w:rPr>
        <w:footnoteRef/>
      </w:r>
      <w:r w:rsidRPr="00C6710F">
        <w:rPr>
          <w:rFonts w:ascii="Times New Roman" w:hAnsi="Times New Roman" w:cs="Times New Roman"/>
        </w:rPr>
        <w:t xml:space="preserve"> A – Regulacje prawne; B – Mechanizmy finansowania; C – Wzmacnianie wiedzy i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300E" w14:textId="77777777" w:rsidR="0081137B" w:rsidRPr="00B036C4" w:rsidRDefault="0081137B" w:rsidP="005B177E">
    <w:pPr>
      <w:rPr>
        <w:b/>
        <w:bCs/>
      </w:rPr>
    </w:pPr>
    <w:r w:rsidRPr="00B036C4">
      <w:rPr>
        <w:b/>
        <w:bCs/>
        <w:noProof/>
        <w:sz w:val="28"/>
        <w:szCs w:val="28"/>
        <w:lang w:eastAsia="pl-PL"/>
      </w:rPr>
      <w:drawing>
        <wp:anchor distT="0" distB="0" distL="114300" distR="114300" simplePos="0" relativeHeight="251658240" behindDoc="0" locked="0" layoutInCell="1" allowOverlap="1" wp14:anchorId="1ACE3011" wp14:editId="1ACE3012">
          <wp:simplePos x="0" y="0"/>
          <wp:positionH relativeFrom="margin">
            <wp:posOffset>3032760</wp:posOffset>
          </wp:positionH>
          <wp:positionV relativeFrom="margin">
            <wp:posOffset>-598170</wp:posOffset>
          </wp:positionV>
          <wp:extent cx="1581150" cy="471805"/>
          <wp:effectExtent l="0" t="0" r="0" b="4445"/>
          <wp:wrapSquare wrapText="bothSides"/>
          <wp:docPr id="1" name="Obraz 1"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res-logo.png"/>
                  <pic:cNvPicPr/>
                </pic:nvPicPr>
                <pic:blipFill>
                  <a:blip r:embed="rId1">
                    <a:extLst>
                      <a:ext uri="{28A0092B-C50C-407E-A947-70E740481C1C}">
                        <a14:useLocalDpi xmlns:a14="http://schemas.microsoft.com/office/drawing/2010/main" val="0"/>
                      </a:ext>
                    </a:extLst>
                  </a:blip>
                  <a:stretch>
                    <a:fillRect/>
                  </a:stretch>
                </pic:blipFill>
                <pic:spPr>
                  <a:xfrm>
                    <a:off x="0" y="0"/>
                    <a:ext cx="1581150" cy="471805"/>
                  </a:xfrm>
                  <a:prstGeom prst="rect">
                    <a:avLst/>
                  </a:prstGeom>
                </pic:spPr>
              </pic:pic>
            </a:graphicData>
          </a:graphic>
        </wp:anchor>
      </w:drawing>
    </w:r>
    <w:r w:rsidRPr="00B036C4">
      <w:rPr>
        <w:b/>
        <w:bCs/>
        <w:noProof/>
        <w:sz w:val="28"/>
        <w:szCs w:val="28"/>
        <w:lang w:eastAsia="pl-PL"/>
      </w:rPr>
      <w:drawing>
        <wp:anchor distT="0" distB="0" distL="114300" distR="114300" simplePos="0" relativeHeight="251660288" behindDoc="0" locked="0" layoutInCell="1" allowOverlap="1" wp14:anchorId="1ACE3013" wp14:editId="1ACE3014">
          <wp:simplePos x="0" y="0"/>
          <wp:positionH relativeFrom="column">
            <wp:posOffset>4662805</wp:posOffset>
          </wp:positionH>
          <wp:positionV relativeFrom="paragraph">
            <wp:posOffset>-421005</wp:posOffset>
          </wp:positionV>
          <wp:extent cx="1543050" cy="79074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
                    <a:extLst>
                      <a:ext uri="{28A0092B-C50C-407E-A947-70E740481C1C}">
                        <a14:useLocalDpi xmlns:a14="http://schemas.microsoft.com/office/drawing/2010/main" val="0"/>
                      </a:ext>
                    </a:extLst>
                  </a:blip>
                  <a:stretch>
                    <a:fillRect/>
                  </a:stretch>
                </pic:blipFill>
                <pic:spPr>
                  <a:xfrm>
                    <a:off x="0" y="0"/>
                    <a:ext cx="1543050" cy="790745"/>
                  </a:xfrm>
                  <a:prstGeom prst="rect">
                    <a:avLst/>
                  </a:prstGeom>
                </pic:spPr>
              </pic:pic>
            </a:graphicData>
          </a:graphic>
        </wp:anchor>
      </w:drawing>
    </w:r>
    <w:r w:rsidRPr="00B036C4">
      <w:rPr>
        <w:b/>
        <w:bCs/>
        <w:sz w:val="28"/>
        <w:szCs w:val="28"/>
      </w:rPr>
      <w:t>KRAJOWA POLITYKA MIEJSKA 2030</w:t>
    </w:r>
    <w:r w:rsidRPr="00B036C4">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52B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C81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8E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C46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A4F6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27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D6F2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FE61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80B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E7C08"/>
    <w:multiLevelType w:val="multilevel"/>
    <w:tmpl w:val="2F1A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86405A0"/>
    <w:multiLevelType w:val="multilevel"/>
    <w:tmpl w:val="E650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01643B"/>
    <w:multiLevelType w:val="multilevel"/>
    <w:tmpl w:val="1328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7"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235665E"/>
    <w:multiLevelType w:val="hybridMultilevel"/>
    <w:tmpl w:val="65DC1264"/>
    <w:lvl w:ilvl="0" w:tplc="54965814">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11208E"/>
    <w:multiLevelType w:val="hybridMultilevel"/>
    <w:tmpl w:val="1D162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5132EF"/>
    <w:multiLevelType w:val="hybridMultilevel"/>
    <w:tmpl w:val="D91A7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1"/>
  </w:num>
  <w:num w:numId="14">
    <w:abstractNumId w:val="16"/>
  </w:num>
  <w:num w:numId="15">
    <w:abstractNumId w:val="17"/>
  </w:num>
  <w:num w:numId="16">
    <w:abstractNumId w:val="12"/>
  </w:num>
  <w:num w:numId="17">
    <w:abstractNumId w:val="20"/>
  </w:num>
  <w:num w:numId="18">
    <w:abstractNumId w:val="18"/>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21"/>
  </w:num>
  <w:num w:numId="23">
    <w:abstractNumId w:val="22"/>
  </w:num>
  <w:num w:numId="24">
    <w:abstractNumId w:val="10"/>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E15"/>
    <w:rsid w:val="000008AC"/>
    <w:rsid w:val="00013DAD"/>
    <w:rsid w:val="00023521"/>
    <w:rsid w:val="000353D2"/>
    <w:rsid w:val="00041EB6"/>
    <w:rsid w:val="00046D16"/>
    <w:rsid w:val="00046E82"/>
    <w:rsid w:val="0005565E"/>
    <w:rsid w:val="00056395"/>
    <w:rsid w:val="0006259C"/>
    <w:rsid w:val="000721CA"/>
    <w:rsid w:val="000744C7"/>
    <w:rsid w:val="00076050"/>
    <w:rsid w:val="00087F8A"/>
    <w:rsid w:val="0009100D"/>
    <w:rsid w:val="000945FE"/>
    <w:rsid w:val="000A49E8"/>
    <w:rsid w:val="000A5546"/>
    <w:rsid w:val="000A724D"/>
    <w:rsid w:val="000B1B08"/>
    <w:rsid w:val="000B42EB"/>
    <w:rsid w:val="000C53F7"/>
    <w:rsid w:val="000D420F"/>
    <w:rsid w:val="000D547F"/>
    <w:rsid w:val="000D55DA"/>
    <w:rsid w:val="000D7675"/>
    <w:rsid w:val="00112991"/>
    <w:rsid w:val="00127F9E"/>
    <w:rsid w:val="0013077F"/>
    <w:rsid w:val="00134206"/>
    <w:rsid w:val="00134F69"/>
    <w:rsid w:val="00137047"/>
    <w:rsid w:val="001372A6"/>
    <w:rsid w:val="00142726"/>
    <w:rsid w:val="00146EC7"/>
    <w:rsid w:val="001530ED"/>
    <w:rsid w:val="00153A61"/>
    <w:rsid w:val="00154D56"/>
    <w:rsid w:val="00155F9B"/>
    <w:rsid w:val="00157FC0"/>
    <w:rsid w:val="0016068B"/>
    <w:rsid w:val="00160868"/>
    <w:rsid w:val="00172F4F"/>
    <w:rsid w:val="00176B1E"/>
    <w:rsid w:val="001830ED"/>
    <w:rsid w:val="0018773C"/>
    <w:rsid w:val="0019211A"/>
    <w:rsid w:val="001A74DF"/>
    <w:rsid w:val="001B2BF3"/>
    <w:rsid w:val="001B4DFB"/>
    <w:rsid w:val="001D087C"/>
    <w:rsid w:val="001D456D"/>
    <w:rsid w:val="001E1C94"/>
    <w:rsid w:val="001E3E89"/>
    <w:rsid w:val="00204614"/>
    <w:rsid w:val="0020461A"/>
    <w:rsid w:val="002156BA"/>
    <w:rsid w:val="00215AEB"/>
    <w:rsid w:val="002400FE"/>
    <w:rsid w:val="00251647"/>
    <w:rsid w:val="0025549F"/>
    <w:rsid w:val="00270A69"/>
    <w:rsid w:val="0027174B"/>
    <w:rsid w:val="00275092"/>
    <w:rsid w:val="00277A9F"/>
    <w:rsid w:val="00285A78"/>
    <w:rsid w:val="00286A0A"/>
    <w:rsid w:val="002A07C2"/>
    <w:rsid w:val="002A2B52"/>
    <w:rsid w:val="002B0626"/>
    <w:rsid w:val="002B0FBA"/>
    <w:rsid w:val="002D0C84"/>
    <w:rsid w:val="002D5AAF"/>
    <w:rsid w:val="002D71FD"/>
    <w:rsid w:val="002E18F7"/>
    <w:rsid w:val="002E4013"/>
    <w:rsid w:val="002E6FAA"/>
    <w:rsid w:val="002F3DED"/>
    <w:rsid w:val="002F6309"/>
    <w:rsid w:val="00306A52"/>
    <w:rsid w:val="003109A0"/>
    <w:rsid w:val="00313954"/>
    <w:rsid w:val="00314BB5"/>
    <w:rsid w:val="003156CF"/>
    <w:rsid w:val="003172CA"/>
    <w:rsid w:val="003229D4"/>
    <w:rsid w:val="00353F0C"/>
    <w:rsid w:val="00364144"/>
    <w:rsid w:val="0036481E"/>
    <w:rsid w:val="00374478"/>
    <w:rsid w:val="00376922"/>
    <w:rsid w:val="00395054"/>
    <w:rsid w:val="003A06EA"/>
    <w:rsid w:val="003A18FA"/>
    <w:rsid w:val="003A65C9"/>
    <w:rsid w:val="003C54A8"/>
    <w:rsid w:val="003F08D2"/>
    <w:rsid w:val="003F38E2"/>
    <w:rsid w:val="00402545"/>
    <w:rsid w:val="00404429"/>
    <w:rsid w:val="00417DC6"/>
    <w:rsid w:val="00423402"/>
    <w:rsid w:val="00424566"/>
    <w:rsid w:val="004253C9"/>
    <w:rsid w:val="004331B6"/>
    <w:rsid w:val="00434D48"/>
    <w:rsid w:val="00461845"/>
    <w:rsid w:val="004632BF"/>
    <w:rsid w:val="00465C0A"/>
    <w:rsid w:val="00467FD9"/>
    <w:rsid w:val="00471AAC"/>
    <w:rsid w:val="00471CBC"/>
    <w:rsid w:val="00475177"/>
    <w:rsid w:val="00485014"/>
    <w:rsid w:val="0049400C"/>
    <w:rsid w:val="004B3C62"/>
    <w:rsid w:val="004B6FDB"/>
    <w:rsid w:val="004C4527"/>
    <w:rsid w:val="004D32FD"/>
    <w:rsid w:val="004D7ADE"/>
    <w:rsid w:val="004E38BE"/>
    <w:rsid w:val="004E440C"/>
    <w:rsid w:val="004E4FFC"/>
    <w:rsid w:val="004E7FA1"/>
    <w:rsid w:val="004F065A"/>
    <w:rsid w:val="004F160D"/>
    <w:rsid w:val="005334F6"/>
    <w:rsid w:val="00534B77"/>
    <w:rsid w:val="00534F0B"/>
    <w:rsid w:val="005416B5"/>
    <w:rsid w:val="00550111"/>
    <w:rsid w:val="00560733"/>
    <w:rsid w:val="0058246C"/>
    <w:rsid w:val="005855F2"/>
    <w:rsid w:val="005924AA"/>
    <w:rsid w:val="0059298A"/>
    <w:rsid w:val="00592A86"/>
    <w:rsid w:val="005944AB"/>
    <w:rsid w:val="0059704F"/>
    <w:rsid w:val="005A7530"/>
    <w:rsid w:val="005B177E"/>
    <w:rsid w:val="005E6071"/>
    <w:rsid w:val="005F1DA6"/>
    <w:rsid w:val="005F31E1"/>
    <w:rsid w:val="005F6A87"/>
    <w:rsid w:val="006157DD"/>
    <w:rsid w:val="00617D0B"/>
    <w:rsid w:val="00617D87"/>
    <w:rsid w:val="0063027B"/>
    <w:rsid w:val="0063278A"/>
    <w:rsid w:val="00645634"/>
    <w:rsid w:val="0065444A"/>
    <w:rsid w:val="00654665"/>
    <w:rsid w:val="00655D41"/>
    <w:rsid w:val="00663778"/>
    <w:rsid w:val="00663BE7"/>
    <w:rsid w:val="00663C03"/>
    <w:rsid w:val="00663CD8"/>
    <w:rsid w:val="0068079B"/>
    <w:rsid w:val="0068384C"/>
    <w:rsid w:val="00684BDA"/>
    <w:rsid w:val="0069777F"/>
    <w:rsid w:val="006A19BE"/>
    <w:rsid w:val="006A1A76"/>
    <w:rsid w:val="006A35FD"/>
    <w:rsid w:val="006A66CA"/>
    <w:rsid w:val="006A750E"/>
    <w:rsid w:val="006B4234"/>
    <w:rsid w:val="006C4B1B"/>
    <w:rsid w:val="006C579C"/>
    <w:rsid w:val="006D38B2"/>
    <w:rsid w:val="006E0806"/>
    <w:rsid w:val="006E426F"/>
    <w:rsid w:val="006E72CA"/>
    <w:rsid w:val="006F2A94"/>
    <w:rsid w:val="00702955"/>
    <w:rsid w:val="0070303C"/>
    <w:rsid w:val="00716B79"/>
    <w:rsid w:val="007252E4"/>
    <w:rsid w:val="007256CC"/>
    <w:rsid w:val="00726B92"/>
    <w:rsid w:val="0074203F"/>
    <w:rsid w:val="00742EE1"/>
    <w:rsid w:val="00744861"/>
    <w:rsid w:val="00752A84"/>
    <w:rsid w:val="00760DA4"/>
    <w:rsid w:val="00775AEC"/>
    <w:rsid w:val="00793266"/>
    <w:rsid w:val="00793EC2"/>
    <w:rsid w:val="007A01C6"/>
    <w:rsid w:val="007A3029"/>
    <w:rsid w:val="007A7EE4"/>
    <w:rsid w:val="007B4C72"/>
    <w:rsid w:val="007C33C9"/>
    <w:rsid w:val="007D4C9B"/>
    <w:rsid w:val="007E163D"/>
    <w:rsid w:val="007E2473"/>
    <w:rsid w:val="007F072F"/>
    <w:rsid w:val="007F2381"/>
    <w:rsid w:val="007F2B23"/>
    <w:rsid w:val="00810730"/>
    <w:rsid w:val="0081137B"/>
    <w:rsid w:val="00816361"/>
    <w:rsid w:val="00825DA6"/>
    <w:rsid w:val="00825E13"/>
    <w:rsid w:val="00845C70"/>
    <w:rsid w:val="00846D85"/>
    <w:rsid w:val="00850550"/>
    <w:rsid w:val="00856EC2"/>
    <w:rsid w:val="0085774C"/>
    <w:rsid w:val="008678AB"/>
    <w:rsid w:val="008846A1"/>
    <w:rsid w:val="00893AEE"/>
    <w:rsid w:val="00897B3B"/>
    <w:rsid w:val="00897D26"/>
    <w:rsid w:val="008A3338"/>
    <w:rsid w:val="008B4143"/>
    <w:rsid w:val="008C19B9"/>
    <w:rsid w:val="008C5124"/>
    <w:rsid w:val="008C5BF4"/>
    <w:rsid w:val="008D0952"/>
    <w:rsid w:val="008D0B01"/>
    <w:rsid w:val="008D5EC9"/>
    <w:rsid w:val="008E0C73"/>
    <w:rsid w:val="009120F8"/>
    <w:rsid w:val="009124FD"/>
    <w:rsid w:val="00916033"/>
    <w:rsid w:val="00916114"/>
    <w:rsid w:val="00917521"/>
    <w:rsid w:val="00917956"/>
    <w:rsid w:val="009235F1"/>
    <w:rsid w:val="0092611C"/>
    <w:rsid w:val="00927DC2"/>
    <w:rsid w:val="009333D1"/>
    <w:rsid w:val="00935617"/>
    <w:rsid w:val="00937C2E"/>
    <w:rsid w:val="009425A5"/>
    <w:rsid w:val="00942BD2"/>
    <w:rsid w:val="00944C6D"/>
    <w:rsid w:val="00945623"/>
    <w:rsid w:val="00956CF6"/>
    <w:rsid w:val="009642A9"/>
    <w:rsid w:val="00973AC0"/>
    <w:rsid w:val="009837D0"/>
    <w:rsid w:val="0098382F"/>
    <w:rsid w:val="009A01C2"/>
    <w:rsid w:val="009B10DF"/>
    <w:rsid w:val="009B4B16"/>
    <w:rsid w:val="009B56E9"/>
    <w:rsid w:val="009B5D31"/>
    <w:rsid w:val="009B69F9"/>
    <w:rsid w:val="009C6A8D"/>
    <w:rsid w:val="009D0D99"/>
    <w:rsid w:val="009E0E4E"/>
    <w:rsid w:val="009F5DB6"/>
    <w:rsid w:val="009F6B5E"/>
    <w:rsid w:val="00A00C8A"/>
    <w:rsid w:val="00A105D4"/>
    <w:rsid w:val="00A122DB"/>
    <w:rsid w:val="00A22038"/>
    <w:rsid w:val="00A36A21"/>
    <w:rsid w:val="00A409AA"/>
    <w:rsid w:val="00A417B6"/>
    <w:rsid w:val="00A5181D"/>
    <w:rsid w:val="00A64A9C"/>
    <w:rsid w:val="00A670D3"/>
    <w:rsid w:val="00A71FA1"/>
    <w:rsid w:val="00A72DF4"/>
    <w:rsid w:val="00A77407"/>
    <w:rsid w:val="00A840BA"/>
    <w:rsid w:val="00A84AA2"/>
    <w:rsid w:val="00A86F91"/>
    <w:rsid w:val="00A936B0"/>
    <w:rsid w:val="00A95892"/>
    <w:rsid w:val="00AA1D55"/>
    <w:rsid w:val="00AA2680"/>
    <w:rsid w:val="00AB1301"/>
    <w:rsid w:val="00AB1CBD"/>
    <w:rsid w:val="00AB3938"/>
    <w:rsid w:val="00AC2E45"/>
    <w:rsid w:val="00AC7DD6"/>
    <w:rsid w:val="00AD0FCA"/>
    <w:rsid w:val="00AE0F32"/>
    <w:rsid w:val="00AE5793"/>
    <w:rsid w:val="00AF1E15"/>
    <w:rsid w:val="00AF623E"/>
    <w:rsid w:val="00B028BC"/>
    <w:rsid w:val="00B036C4"/>
    <w:rsid w:val="00B07DC2"/>
    <w:rsid w:val="00B07FEB"/>
    <w:rsid w:val="00B123AC"/>
    <w:rsid w:val="00B16C42"/>
    <w:rsid w:val="00B23E89"/>
    <w:rsid w:val="00B26944"/>
    <w:rsid w:val="00B33B09"/>
    <w:rsid w:val="00B40352"/>
    <w:rsid w:val="00B50440"/>
    <w:rsid w:val="00B5659D"/>
    <w:rsid w:val="00B63425"/>
    <w:rsid w:val="00B93919"/>
    <w:rsid w:val="00B94138"/>
    <w:rsid w:val="00BA5384"/>
    <w:rsid w:val="00BA7AEB"/>
    <w:rsid w:val="00BA7B52"/>
    <w:rsid w:val="00BB20B4"/>
    <w:rsid w:val="00BC7C98"/>
    <w:rsid w:val="00BD7AD0"/>
    <w:rsid w:val="00BE5886"/>
    <w:rsid w:val="00BF0FF6"/>
    <w:rsid w:val="00BF14BE"/>
    <w:rsid w:val="00BF171B"/>
    <w:rsid w:val="00C055BB"/>
    <w:rsid w:val="00C06EE0"/>
    <w:rsid w:val="00C22757"/>
    <w:rsid w:val="00C3770F"/>
    <w:rsid w:val="00C377DE"/>
    <w:rsid w:val="00C40B47"/>
    <w:rsid w:val="00C41025"/>
    <w:rsid w:val="00C47E81"/>
    <w:rsid w:val="00C6710F"/>
    <w:rsid w:val="00C71B9E"/>
    <w:rsid w:val="00C834A2"/>
    <w:rsid w:val="00C84914"/>
    <w:rsid w:val="00C86C10"/>
    <w:rsid w:val="00CA220D"/>
    <w:rsid w:val="00CA288F"/>
    <w:rsid w:val="00CA3D2D"/>
    <w:rsid w:val="00CA5516"/>
    <w:rsid w:val="00CA71A8"/>
    <w:rsid w:val="00CA79A6"/>
    <w:rsid w:val="00CB4CB1"/>
    <w:rsid w:val="00CB5D85"/>
    <w:rsid w:val="00CB7909"/>
    <w:rsid w:val="00CD5538"/>
    <w:rsid w:val="00CF1F97"/>
    <w:rsid w:val="00CF6DD3"/>
    <w:rsid w:val="00D17041"/>
    <w:rsid w:val="00D33BFB"/>
    <w:rsid w:val="00D434B2"/>
    <w:rsid w:val="00D51922"/>
    <w:rsid w:val="00D543AC"/>
    <w:rsid w:val="00D55F58"/>
    <w:rsid w:val="00D5693B"/>
    <w:rsid w:val="00D63AC0"/>
    <w:rsid w:val="00D64A98"/>
    <w:rsid w:val="00D72919"/>
    <w:rsid w:val="00D7341B"/>
    <w:rsid w:val="00D94E02"/>
    <w:rsid w:val="00D96024"/>
    <w:rsid w:val="00DA1D4E"/>
    <w:rsid w:val="00DA2349"/>
    <w:rsid w:val="00DB0674"/>
    <w:rsid w:val="00DB5C21"/>
    <w:rsid w:val="00DB7F37"/>
    <w:rsid w:val="00DD54BF"/>
    <w:rsid w:val="00DD66F7"/>
    <w:rsid w:val="00DD7E62"/>
    <w:rsid w:val="00DF4EB1"/>
    <w:rsid w:val="00DF5142"/>
    <w:rsid w:val="00DF651B"/>
    <w:rsid w:val="00DF66C9"/>
    <w:rsid w:val="00E01A30"/>
    <w:rsid w:val="00E712DD"/>
    <w:rsid w:val="00E77061"/>
    <w:rsid w:val="00E77325"/>
    <w:rsid w:val="00E94B49"/>
    <w:rsid w:val="00EA0429"/>
    <w:rsid w:val="00EB1E98"/>
    <w:rsid w:val="00EB62D3"/>
    <w:rsid w:val="00EB7FEF"/>
    <w:rsid w:val="00EC1A91"/>
    <w:rsid w:val="00EC3F3C"/>
    <w:rsid w:val="00EC6999"/>
    <w:rsid w:val="00ED3C71"/>
    <w:rsid w:val="00ED4480"/>
    <w:rsid w:val="00EE1A5C"/>
    <w:rsid w:val="00EE29AD"/>
    <w:rsid w:val="00EE42B3"/>
    <w:rsid w:val="00EE5588"/>
    <w:rsid w:val="00EF1AE5"/>
    <w:rsid w:val="00EF34ED"/>
    <w:rsid w:val="00EF3B9F"/>
    <w:rsid w:val="00EF63AE"/>
    <w:rsid w:val="00F05E06"/>
    <w:rsid w:val="00F144E2"/>
    <w:rsid w:val="00F2007F"/>
    <w:rsid w:val="00F25FB3"/>
    <w:rsid w:val="00F26EA4"/>
    <w:rsid w:val="00F323EC"/>
    <w:rsid w:val="00F4463F"/>
    <w:rsid w:val="00F518CE"/>
    <w:rsid w:val="00F521C7"/>
    <w:rsid w:val="00F52849"/>
    <w:rsid w:val="00F52D78"/>
    <w:rsid w:val="00F5360A"/>
    <w:rsid w:val="00F74F7C"/>
    <w:rsid w:val="00F75E65"/>
    <w:rsid w:val="00F77367"/>
    <w:rsid w:val="00F82D7E"/>
    <w:rsid w:val="00F84A7C"/>
    <w:rsid w:val="00F90925"/>
    <w:rsid w:val="00F94214"/>
    <w:rsid w:val="00F95418"/>
    <w:rsid w:val="00F95718"/>
    <w:rsid w:val="00F95EA2"/>
    <w:rsid w:val="00FA7923"/>
    <w:rsid w:val="00FA7CCD"/>
    <w:rsid w:val="00FB0B22"/>
    <w:rsid w:val="00FB293B"/>
    <w:rsid w:val="00FB69A9"/>
    <w:rsid w:val="00FC0E76"/>
    <w:rsid w:val="00FD7135"/>
    <w:rsid w:val="00FE643D"/>
    <w:rsid w:val="00FF3BA2"/>
    <w:rsid w:val="00FF7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ACE2FC5"/>
  <w15:docId w15:val="{12F37596-C5C7-4D45-A3B2-D878FCE2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177E"/>
    <w:pPr>
      <w:jc w:val="both"/>
    </w:pPr>
  </w:style>
  <w:style w:type="paragraph" w:styleId="Nagwek1">
    <w:name w:val="heading 1"/>
    <w:basedOn w:val="Normalny"/>
    <w:next w:val="Normalny"/>
    <w:link w:val="Nagwek1Znak"/>
    <w:uiPriority w:val="9"/>
    <w:qFormat/>
    <w:rsid w:val="00AF1E15"/>
    <w:pPr>
      <w:outlineLvl w:val="0"/>
    </w:pPr>
    <w:rPr>
      <w:b/>
      <w:bCs/>
      <w:sz w:val="24"/>
      <w:szCs w:val="24"/>
    </w:rPr>
  </w:style>
  <w:style w:type="paragraph" w:styleId="Nagwek2">
    <w:name w:val="heading 2"/>
    <w:basedOn w:val="Normalny"/>
    <w:next w:val="Normalny"/>
    <w:link w:val="Nagwek2Znak"/>
    <w:uiPriority w:val="9"/>
    <w:semiHidden/>
    <w:unhideWhenUsed/>
    <w:qFormat/>
    <w:rsid w:val="00B6342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F25FB3"/>
    <w:pPr>
      <w:numPr>
        <w:numId w:val="11"/>
      </w:numPr>
      <w:outlineLvl w:val="2"/>
    </w:pPr>
    <w:rPr>
      <w:b/>
      <w:bCs/>
      <w:color w:val="ED7D31"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1E15"/>
    <w:rPr>
      <w:b/>
      <w:bCs/>
      <w:sz w:val="24"/>
      <w:szCs w:val="24"/>
    </w:rPr>
  </w:style>
  <w:style w:type="paragraph" w:styleId="Nagwek">
    <w:name w:val="header"/>
    <w:basedOn w:val="Normalny"/>
    <w:link w:val="NagwekZnak"/>
    <w:uiPriority w:val="99"/>
    <w:unhideWhenUsed/>
    <w:rsid w:val="00AF1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1E15"/>
  </w:style>
  <w:style w:type="paragraph" w:styleId="Stopka">
    <w:name w:val="footer"/>
    <w:basedOn w:val="Normalny"/>
    <w:link w:val="StopkaZnak"/>
    <w:uiPriority w:val="99"/>
    <w:unhideWhenUsed/>
    <w:rsid w:val="00AF1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1E15"/>
  </w:style>
  <w:style w:type="character" w:customStyle="1" w:styleId="Nagwek3Znak">
    <w:name w:val="Nagłówek 3 Znak"/>
    <w:basedOn w:val="Domylnaczcionkaakapitu"/>
    <w:link w:val="Nagwek3"/>
    <w:uiPriority w:val="9"/>
    <w:rsid w:val="00F25FB3"/>
    <w:rPr>
      <w:b/>
      <w:bCs/>
      <w:color w:val="ED7D31" w:themeColor="accent2"/>
    </w:rPr>
  </w:style>
  <w:style w:type="table" w:styleId="Tabela-Siatka">
    <w:name w:val="Table Grid"/>
    <w:basedOn w:val="Standardowy"/>
    <w:uiPriority w:val="39"/>
    <w:rsid w:val="00F9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C5124"/>
    <w:rPr>
      <w:color w:val="808080"/>
    </w:rPr>
  </w:style>
  <w:style w:type="character" w:styleId="Hipercze">
    <w:name w:val="Hyperlink"/>
    <w:uiPriority w:val="99"/>
    <w:unhideWhenUsed/>
    <w:rsid w:val="004D7ADE"/>
    <w:rPr>
      <w:color w:val="0000FF"/>
      <w:u w:val="single"/>
    </w:rPr>
  </w:style>
  <w:style w:type="paragraph" w:styleId="Tekstdymka">
    <w:name w:val="Balloon Text"/>
    <w:basedOn w:val="Normalny"/>
    <w:link w:val="TekstdymkaZnak"/>
    <w:uiPriority w:val="99"/>
    <w:semiHidden/>
    <w:unhideWhenUsed/>
    <w:rsid w:val="00CA55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5516"/>
    <w:rPr>
      <w:rFonts w:ascii="Tahoma" w:hAnsi="Tahoma" w:cs="Tahoma"/>
      <w:sz w:val="16"/>
      <w:szCs w:val="16"/>
    </w:rPr>
  </w:style>
  <w:style w:type="character" w:styleId="Odwoaniedokomentarza">
    <w:name w:val="annotation reference"/>
    <w:basedOn w:val="Domylnaczcionkaakapitu"/>
    <w:uiPriority w:val="99"/>
    <w:semiHidden/>
    <w:unhideWhenUsed/>
    <w:rsid w:val="00E77061"/>
    <w:rPr>
      <w:sz w:val="16"/>
      <w:szCs w:val="16"/>
    </w:rPr>
  </w:style>
  <w:style w:type="paragraph" w:styleId="Tekstkomentarza">
    <w:name w:val="annotation text"/>
    <w:basedOn w:val="Normalny"/>
    <w:link w:val="TekstkomentarzaZnak"/>
    <w:uiPriority w:val="99"/>
    <w:semiHidden/>
    <w:unhideWhenUsed/>
    <w:rsid w:val="00E770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061"/>
    <w:rPr>
      <w:sz w:val="20"/>
      <w:szCs w:val="20"/>
    </w:rPr>
  </w:style>
  <w:style w:type="paragraph" w:styleId="Tematkomentarza">
    <w:name w:val="annotation subject"/>
    <w:basedOn w:val="Tekstkomentarza"/>
    <w:next w:val="Tekstkomentarza"/>
    <w:link w:val="TematkomentarzaZnak"/>
    <w:uiPriority w:val="99"/>
    <w:semiHidden/>
    <w:unhideWhenUsed/>
    <w:rsid w:val="00E77061"/>
    <w:rPr>
      <w:b/>
      <w:bCs/>
    </w:rPr>
  </w:style>
  <w:style w:type="character" w:customStyle="1" w:styleId="TematkomentarzaZnak">
    <w:name w:val="Temat komentarza Znak"/>
    <w:basedOn w:val="TekstkomentarzaZnak"/>
    <w:link w:val="Tematkomentarza"/>
    <w:uiPriority w:val="99"/>
    <w:semiHidden/>
    <w:rsid w:val="00E77061"/>
    <w:rPr>
      <w:b/>
      <w:bCs/>
      <w:sz w:val="20"/>
      <w:szCs w:val="20"/>
    </w:rPr>
  </w:style>
  <w:style w:type="paragraph" w:styleId="Tekstprzypisudolnego">
    <w:name w:val="footnote text"/>
    <w:basedOn w:val="Normalny"/>
    <w:link w:val="TekstprzypisudolnegoZnak"/>
    <w:uiPriority w:val="99"/>
    <w:semiHidden/>
    <w:unhideWhenUsed/>
    <w:rsid w:val="00CA3D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3D2D"/>
    <w:rPr>
      <w:sz w:val="20"/>
      <w:szCs w:val="20"/>
    </w:rPr>
  </w:style>
  <w:style w:type="character" w:styleId="Odwoanieprzypisudolnego">
    <w:name w:val="footnote reference"/>
    <w:basedOn w:val="Domylnaczcionkaakapitu"/>
    <w:uiPriority w:val="99"/>
    <w:semiHidden/>
    <w:unhideWhenUsed/>
    <w:rsid w:val="00CA3D2D"/>
    <w:rPr>
      <w:vertAlign w:val="superscript"/>
    </w:rPr>
  </w:style>
  <w:style w:type="paragraph" w:styleId="NormalnyWeb">
    <w:name w:val="Normal (Web)"/>
    <w:basedOn w:val="Normalny"/>
    <w:uiPriority w:val="99"/>
    <w:unhideWhenUsed/>
    <w:rsid w:val="006E0806"/>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C0E76"/>
    <w:pPr>
      <w:ind w:left="720"/>
      <w:contextualSpacing/>
    </w:pPr>
  </w:style>
  <w:style w:type="character" w:customStyle="1" w:styleId="normaltextrun">
    <w:name w:val="normaltextrun"/>
    <w:basedOn w:val="Domylnaczcionkaakapitu"/>
    <w:rsid w:val="00C055BB"/>
  </w:style>
  <w:style w:type="character" w:customStyle="1" w:styleId="spellingerror">
    <w:name w:val="spellingerror"/>
    <w:basedOn w:val="Domylnaczcionkaakapitu"/>
    <w:rsid w:val="00C055BB"/>
  </w:style>
  <w:style w:type="paragraph" w:customStyle="1" w:styleId="paragraph">
    <w:name w:val="paragraph"/>
    <w:basedOn w:val="Normalny"/>
    <w:rsid w:val="00C055B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eop">
    <w:name w:val="eop"/>
    <w:basedOn w:val="Domylnaczcionkaakapitu"/>
    <w:rsid w:val="00C055BB"/>
  </w:style>
  <w:style w:type="paragraph" w:customStyle="1" w:styleId="Default">
    <w:name w:val="Default"/>
    <w:rsid w:val="00DB0674"/>
    <w:pPr>
      <w:autoSpaceDE w:val="0"/>
      <w:autoSpaceDN w:val="0"/>
      <w:adjustRightInd w:val="0"/>
      <w:spacing w:after="0" w:line="240" w:lineRule="auto"/>
    </w:pPr>
    <w:rPr>
      <w:rFonts w:ascii="Merriweather Sans" w:hAnsi="Merriweather Sans" w:cs="Merriweather Sans"/>
      <w:color w:val="000000"/>
      <w:sz w:val="24"/>
      <w:szCs w:val="24"/>
    </w:rPr>
  </w:style>
  <w:style w:type="paragraph" w:customStyle="1" w:styleId="Pa12">
    <w:name w:val="Pa12"/>
    <w:basedOn w:val="Default"/>
    <w:next w:val="Default"/>
    <w:uiPriority w:val="99"/>
    <w:rsid w:val="00DB0674"/>
    <w:pPr>
      <w:spacing w:line="141" w:lineRule="atLeast"/>
    </w:pPr>
    <w:rPr>
      <w:rFonts w:cstheme="minorBidi"/>
      <w:color w:val="auto"/>
    </w:rPr>
  </w:style>
  <w:style w:type="paragraph" w:customStyle="1" w:styleId="Pa21">
    <w:name w:val="Pa21"/>
    <w:basedOn w:val="Default"/>
    <w:next w:val="Default"/>
    <w:uiPriority w:val="99"/>
    <w:rsid w:val="007C33C9"/>
    <w:pPr>
      <w:spacing w:line="281" w:lineRule="atLeast"/>
    </w:pPr>
    <w:rPr>
      <w:rFonts w:cstheme="minorBidi"/>
      <w:color w:val="auto"/>
    </w:rPr>
  </w:style>
  <w:style w:type="paragraph" w:customStyle="1" w:styleId="Pa28">
    <w:name w:val="Pa28"/>
    <w:basedOn w:val="Default"/>
    <w:next w:val="Default"/>
    <w:uiPriority w:val="99"/>
    <w:rsid w:val="007C33C9"/>
    <w:pPr>
      <w:spacing w:line="141" w:lineRule="atLeast"/>
    </w:pPr>
    <w:rPr>
      <w:rFonts w:cstheme="minorBidi"/>
      <w:color w:val="auto"/>
    </w:rPr>
  </w:style>
  <w:style w:type="paragraph" w:customStyle="1" w:styleId="Pa26">
    <w:name w:val="Pa26"/>
    <w:basedOn w:val="Default"/>
    <w:next w:val="Default"/>
    <w:uiPriority w:val="99"/>
    <w:rsid w:val="000B1B08"/>
    <w:pPr>
      <w:spacing w:line="121" w:lineRule="atLeast"/>
    </w:pPr>
    <w:rPr>
      <w:rFonts w:cstheme="minorBidi"/>
      <w:color w:val="auto"/>
    </w:rPr>
  </w:style>
  <w:style w:type="character" w:customStyle="1" w:styleId="Nagwek2Znak">
    <w:name w:val="Nagłówek 2 Znak"/>
    <w:basedOn w:val="Domylnaczcionkaakapitu"/>
    <w:link w:val="Nagwek2"/>
    <w:uiPriority w:val="9"/>
    <w:semiHidden/>
    <w:rsid w:val="00B63425"/>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18">
      <w:bodyDiv w:val="1"/>
      <w:marLeft w:val="0"/>
      <w:marRight w:val="0"/>
      <w:marTop w:val="0"/>
      <w:marBottom w:val="0"/>
      <w:divBdr>
        <w:top w:val="none" w:sz="0" w:space="0" w:color="auto"/>
        <w:left w:val="none" w:sz="0" w:space="0" w:color="auto"/>
        <w:bottom w:val="none" w:sz="0" w:space="0" w:color="auto"/>
        <w:right w:val="none" w:sz="0" w:space="0" w:color="auto"/>
      </w:divBdr>
    </w:div>
    <w:div w:id="51465553">
      <w:bodyDiv w:val="1"/>
      <w:marLeft w:val="0"/>
      <w:marRight w:val="0"/>
      <w:marTop w:val="0"/>
      <w:marBottom w:val="0"/>
      <w:divBdr>
        <w:top w:val="none" w:sz="0" w:space="0" w:color="auto"/>
        <w:left w:val="none" w:sz="0" w:space="0" w:color="auto"/>
        <w:bottom w:val="none" w:sz="0" w:space="0" w:color="auto"/>
        <w:right w:val="none" w:sz="0" w:space="0" w:color="auto"/>
      </w:divBdr>
    </w:div>
    <w:div w:id="80640814">
      <w:bodyDiv w:val="1"/>
      <w:marLeft w:val="0"/>
      <w:marRight w:val="0"/>
      <w:marTop w:val="0"/>
      <w:marBottom w:val="0"/>
      <w:divBdr>
        <w:top w:val="none" w:sz="0" w:space="0" w:color="auto"/>
        <w:left w:val="none" w:sz="0" w:space="0" w:color="auto"/>
        <w:bottom w:val="none" w:sz="0" w:space="0" w:color="auto"/>
        <w:right w:val="none" w:sz="0" w:space="0" w:color="auto"/>
      </w:divBdr>
    </w:div>
    <w:div w:id="207767455">
      <w:bodyDiv w:val="1"/>
      <w:marLeft w:val="0"/>
      <w:marRight w:val="0"/>
      <w:marTop w:val="0"/>
      <w:marBottom w:val="0"/>
      <w:divBdr>
        <w:top w:val="none" w:sz="0" w:space="0" w:color="auto"/>
        <w:left w:val="none" w:sz="0" w:space="0" w:color="auto"/>
        <w:bottom w:val="none" w:sz="0" w:space="0" w:color="auto"/>
        <w:right w:val="none" w:sz="0" w:space="0" w:color="auto"/>
      </w:divBdr>
    </w:div>
    <w:div w:id="464811310">
      <w:bodyDiv w:val="1"/>
      <w:marLeft w:val="0"/>
      <w:marRight w:val="0"/>
      <w:marTop w:val="0"/>
      <w:marBottom w:val="0"/>
      <w:divBdr>
        <w:top w:val="none" w:sz="0" w:space="0" w:color="auto"/>
        <w:left w:val="none" w:sz="0" w:space="0" w:color="auto"/>
        <w:bottom w:val="none" w:sz="0" w:space="0" w:color="auto"/>
        <w:right w:val="none" w:sz="0" w:space="0" w:color="auto"/>
      </w:divBdr>
    </w:div>
    <w:div w:id="602999490">
      <w:bodyDiv w:val="1"/>
      <w:marLeft w:val="0"/>
      <w:marRight w:val="0"/>
      <w:marTop w:val="0"/>
      <w:marBottom w:val="0"/>
      <w:divBdr>
        <w:top w:val="none" w:sz="0" w:space="0" w:color="auto"/>
        <w:left w:val="none" w:sz="0" w:space="0" w:color="auto"/>
        <w:bottom w:val="none" w:sz="0" w:space="0" w:color="auto"/>
        <w:right w:val="none" w:sz="0" w:space="0" w:color="auto"/>
      </w:divBdr>
    </w:div>
    <w:div w:id="623272729">
      <w:bodyDiv w:val="1"/>
      <w:marLeft w:val="0"/>
      <w:marRight w:val="0"/>
      <w:marTop w:val="0"/>
      <w:marBottom w:val="0"/>
      <w:divBdr>
        <w:top w:val="none" w:sz="0" w:space="0" w:color="auto"/>
        <w:left w:val="none" w:sz="0" w:space="0" w:color="auto"/>
        <w:bottom w:val="none" w:sz="0" w:space="0" w:color="auto"/>
        <w:right w:val="none" w:sz="0" w:space="0" w:color="auto"/>
      </w:divBdr>
    </w:div>
    <w:div w:id="662856758">
      <w:bodyDiv w:val="1"/>
      <w:marLeft w:val="0"/>
      <w:marRight w:val="0"/>
      <w:marTop w:val="0"/>
      <w:marBottom w:val="0"/>
      <w:divBdr>
        <w:top w:val="none" w:sz="0" w:space="0" w:color="auto"/>
        <w:left w:val="none" w:sz="0" w:space="0" w:color="auto"/>
        <w:bottom w:val="none" w:sz="0" w:space="0" w:color="auto"/>
        <w:right w:val="none" w:sz="0" w:space="0" w:color="auto"/>
      </w:divBdr>
    </w:div>
    <w:div w:id="992611482">
      <w:bodyDiv w:val="1"/>
      <w:marLeft w:val="0"/>
      <w:marRight w:val="0"/>
      <w:marTop w:val="0"/>
      <w:marBottom w:val="0"/>
      <w:divBdr>
        <w:top w:val="none" w:sz="0" w:space="0" w:color="auto"/>
        <w:left w:val="none" w:sz="0" w:space="0" w:color="auto"/>
        <w:bottom w:val="none" w:sz="0" w:space="0" w:color="auto"/>
        <w:right w:val="none" w:sz="0" w:space="0" w:color="auto"/>
      </w:divBdr>
    </w:div>
    <w:div w:id="1180662871">
      <w:bodyDiv w:val="1"/>
      <w:marLeft w:val="0"/>
      <w:marRight w:val="0"/>
      <w:marTop w:val="0"/>
      <w:marBottom w:val="0"/>
      <w:divBdr>
        <w:top w:val="none" w:sz="0" w:space="0" w:color="auto"/>
        <w:left w:val="none" w:sz="0" w:space="0" w:color="auto"/>
        <w:bottom w:val="none" w:sz="0" w:space="0" w:color="auto"/>
        <w:right w:val="none" w:sz="0" w:space="0" w:color="auto"/>
      </w:divBdr>
    </w:div>
    <w:div w:id="1222255836">
      <w:bodyDiv w:val="1"/>
      <w:marLeft w:val="0"/>
      <w:marRight w:val="0"/>
      <w:marTop w:val="0"/>
      <w:marBottom w:val="0"/>
      <w:divBdr>
        <w:top w:val="none" w:sz="0" w:space="0" w:color="auto"/>
        <w:left w:val="none" w:sz="0" w:space="0" w:color="auto"/>
        <w:bottom w:val="none" w:sz="0" w:space="0" w:color="auto"/>
        <w:right w:val="none" w:sz="0" w:space="0" w:color="auto"/>
      </w:divBdr>
    </w:div>
    <w:div w:id="1277131740">
      <w:bodyDiv w:val="1"/>
      <w:marLeft w:val="0"/>
      <w:marRight w:val="0"/>
      <w:marTop w:val="0"/>
      <w:marBottom w:val="0"/>
      <w:divBdr>
        <w:top w:val="none" w:sz="0" w:space="0" w:color="auto"/>
        <w:left w:val="none" w:sz="0" w:space="0" w:color="auto"/>
        <w:bottom w:val="none" w:sz="0" w:space="0" w:color="auto"/>
        <w:right w:val="none" w:sz="0" w:space="0" w:color="auto"/>
      </w:divBdr>
    </w:div>
    <w:div w:id="1375882541">
      <w:bodyDiv w:val="1"/>
      <w:marLeft w:val="0"/>
      <w:marRight w:val="0"/>
      <w:marTop w:val="0"/>
      <w:marBottom w:val="0"/>
      <w:divBdr>
        <w:top w:val="none" w:sz="0" w:space="0" w:color="auto"/>
        <w:left w:val="none" w:sz="0" w:space="0" w:color="auto"/>
        <w:bottom w:val="none" w:sz="0" w:space="0" w:color="auto"/>
        <w:right w:val="none" w:sz="0" w:space="0" w:color="auto"/>
      </w:divBdr>
    </w:div>
    <w:div w:id="1475946051">
      <w:bodyDiv w:val="1"/>
      <w:marLeft w:val="0"/>
      <w:marRight w:val="0"/>
      <w:marTop w:val="0"/>
      <w:marBottom w:val="0"/>
      <w:divBdr>
        <w:top w:val="none" w:sz="0" w:space="0" w:color="auto"/>
        <w:left w:val="none" w:sz="0" w:space="0" w:color="auto"/>
        <w:bottom w:val="none" w:sz="0" w:space="0" w:color="auto"/>
        <w:right w:val="none" w:sz="0" w:space="0" w:color="auto"/>
      </w:divBdr>
    </w:div>
    <w:div w:id="1901867918">
      <w:bodyDiv w:val="1"/>
      <w:marLeft w:val="0"/>
      <w:marRight w:val="0"/>
      <w:marTop w:val="0"/>
      <w:marBottom w:val="0"/>
      <w:divBdr>
        <w:top w:val="none" w:sz="0" w:space="0" w:color="auto"/>
        <w:left w:val="none" w:sz="0" w:space="0" w:color="auto"/>
        <w:bottom w:val="none" w:sz="0" w:space="0" w:color="auto"/>
        <w:right w:val="none" w:sz="0" w:space="0" w:color="auto"/>
      </w:divBdr>
    </w:div>
    <w:div w:id="1929805810">
      <w:bodyDiv w:val="1"/>
      <w:marLeft w:val="0"/>
      <w:marRight w:val="0"/>
      <w:marTop w:val="0"/>
      <w:marBottom w:val="0"/>
      <w:divBdr>
        <w:top w:val="none" w:sz="0" w:space="0" w:color="auto"/>
        <w:left w:val="none" w:sz="0" w:space="0" w:color="auto"/>
        <w:bottom w:val="none" w:sz="0" w:space="0" w:color="auto"/>
        <w:right w:val="none" w:sz="0" w:space="0" w:color="auto"/>
      </w:divBdr>
    </w:div>
    <w:div w:id="1961065606">
      <w:bodyDiv w:val="1"/>
      <w:marLeft w:val="0"/>
      <w:marRight w:val="0"/>
      <w:marTop w:val="0"/>
      <w:marBottom w:val="0"/>
      <w:divBdr>
        <w:top w:val="none" w:sz="0" w:space="0" w:color="auto"/>
        <w:left w:val="none" w:sz="0" w:space="0" w:color="auto"/>
        <w:bottom w:val="none" w:sz="0" w:space="0" w:color="auto"/>
        <w:right w:val="none" w:sz="0" w:space="0" w:color="auto"/>
      </w:divBdr>
    </w:div>
    <w:div w:id="20008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raz-srodowisko.pl/?AK796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sip.sejm.gov.pl/isap.nsf/DocDetails.xsp?id=WDU2020000083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pl/web/klimat/polityka-energetyczna-polski-do-2040-r-przyjeta-przez-rade-ministro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BE39E8287FDA42B03AB86FCE82983A" ma:contentTypeVersion="2" ma:contentTypeDescription="Utwórz nowy dokument." ma:contentTypeScope="" ma:versionID="7fca2d4563b216d1fe8990182c20c8fb">
  <xsd:schema xmlns:xsd="http://www.w3.org/2001/XMLSchema" xmlns:xs="http://www.w3.org/2001/XMLSchema" xmlns:p="http://schemas.microsoft.com/office/2006/metadata/properties" xmlns:ns2="7333f447-a57b-4250-87eb-7474e5a72328" targetNamespace="http://schemas.microsoft.com/office/2006/metadata/properties" ma:root="true" ma:fieldsID="00bf2a1fb99e7d3194ca255df7fca5af" ns2:_="">
    <xsd:import namespace="7333f447-a57b-4250-87eb-7474e5a723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3f447-a57b-4250-87eb-7474e5a72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AA5F3-CF1E-4883-BCA1-71208D4CA049}">
  <ds:schemaRefs>
    <ds:schemaRef ds:uri="http://schemas.microsoft.com/sharepoint/v3/contenttype/forms"/>
  </ds:schemaRefs>
</ds:datastoreItem>
</file>

<file path=customXml/itemProps2.xml><?xml version="1.0" encoding="utf-8"?>
<ds:datastoreItem xmlns:ds="http://schemas.openxmlformats.org/officeDocument/2006/customXml" ds:itemID="{D9476BAB-7D85-4E0F-9AE3-A1010104D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3f447-a57b-4250-87eb-7474e5a72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38FE0-3858-441A-BC02-5C6EE859E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F2B596-BC2C-42E4-A083-546F6749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5</Pages>
  <Words>2332</Words>
  <Characters>13995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Janas</dc:creator>
  <cp:lastModifiedBy>Karolina Piech</cp:lastModifiedBy>
  <cp:revision>184</cp:revision>
  <dcterms:created xsi:type="dcterms:W3CDTF">2021-03-11T13:18:00Z</dcterms:created>
  <dcterms:modified xsi:type="dcterms:W3CDTF">2021-05-25T11:18:00Z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0x010100F0BE39E8287FDA42B03AB86FCE82983A</vt:lpwstr>
  </property>
</Properties>
</file>